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FFFFFF"/>
        <w:kinsoku/>
        <w:wordWrap/>
        <w:overflowPunct/>
        <w:topLinePunct w:val="0"/>
        <w:autoSpaceDE/>
        <w:autoSpaceDN/>
        <w:bidi w:val="0"/>
        <w:adjustRightInd/>
        <w:snapToGrid/>
        <w:spacing w:line="560" w:lineRule="exact"/>
        <w:jc w:val="both"/>
        <w:textAlignment w:val="auto"/>
        <w:rPr>
          <w:rFonts w:hint="default" w:ascii="Times New Roman" w:hAnsi="Times New Roman" w:eastAsia="方正小标宋_GBK" w:cs="Times New Roman"/>
          <w:sz w:val="44"/>
          <w:szCs w:val="44"/>
          <w:lang w:val="en-US" w:eastAsia="zh-CN"/>
        </w:rPr>
      </w:pPr>
      <w:r>
        <w:rPr>
          <w:rFonts w:hint="eastAsia" w:ascii="Times New Roman" w:hAnsi="Times New Roman" w:eastAsia="黑体" w:cs="Times New Roman"/>
          <w:color w:val="000000"/>
          <w:kern w:val="0"/>
          <w:sz w:val="32"/>
          <w:szCs w:val="32"/>
          <w:shd w:val="clear" w:color="auto" w:fill="FFFFFF"/>
          <w:lang w:val="en-US" w:eastAsia="zh-CN" w:bidi="ar"/>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3080" w:firstLineChars="700"/>
        <w:jc w:val="both"/>
        <w:textAlignment w:val="auto"/>
        <w:rPr>
          <w:rFonts w:hint="default"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霍邱县农民工工资保证金经办</w:t>
      </w:r>
      <w:r>
        <w:rPr>
          <w:rFonts w:hint="default" w:ascii="Times New Roman" w:hAnsi="Times New Roman" w:eastAsia="方正小标宋_GBK" w:cs="Times New Roman"/>
          <w:sz w:val="44"/>
          <w:szCs w:val="44"/>
          <w:lang w:val="en-US" w:eastAsia="zh-CN"/>
        </w:rPr>
        <w:t>机构名录清单</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160" w:firstLineChars="1400"/>
        <w:jc w:val="both"/>
        <w:textAlignment w:val="auto"/>
        <w:rPr>
          <w:rFonts w:hint="eastAsia"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（保险类）</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GB2312" w:cs="Times New Roman"/>
          <w:i w:val="0"/>
          <w:color w:val="000000"/>
          <w:kern w:val="0"/>
          <w:sz w:val="24"/>
          <w:szCs w:val="24"/>
          <w:u w:val="none"/>
          <w:lang w:val="en-US" w:eastAsia="zh-CN" w:bidi="ar"/>
        </w:rPr>
      </w:pPr>
    </w:p>
    <w:tbl>
      <w:tblPr>
        <w:tblStyle w:val="2"/>
        <w:tblW w:w="1170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2"/>
        <w:gridCol w:w="3592"/>
        <w:gridCol w:w="5663"/>
        <w:gridCol w:w="15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8" w:hRule="atLeast"/>
          <w:jc w:val="center"/>
        </w:trPr>
        <w:tc>
          <w:tcPr>
            <w:tcW w:w="87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rPr>
                <w:rFonts w:hint="default" w:ascii="Times New Roman" w:hAnsi="Times New Roman" w:eastAsia="宋体" w:cs="Times New Roman"/>
                <w:b/>
                <w:bCs/>
                <w:sz w:val="22"/>
                <w:szCs w:val="22"/>
                <w:lang w:val="en-US" w:eastAsia="zh-CN"/>
              </w:rPr>
            </w:pPr>
            <w:r>
              <w:rPr>
                <w:rFonts w:hint="default" w:ascii="Times New Roman" w:hAnsi="Times New Roman" w:eastAsia="宋体" w:cs="Times New Roman"/>
                <w:b/>
                <w:bCs/>
                <w:sz w:val="22"/>
                <w:szCs w:val="22"/>
                <w:lang w:val="en-US" w:eastAsia="zh-CN"/>
              </w:rPr>
              <w:t>序号</w:t>
            </w:r>
          </w:p>
        </w:tc>
        <w:tc>
          <w:tcPr>
            <w:tcW w:w="35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rPr>
                <w:rFonts w:hint="default" w:ascii="Times New Roman" w:hAnsi="Times New Roman" w:eastAsia="宋体" w:cs="Times New Roman"/>
                <w:b/>
                <w:bCs/>
                <w:sz w:val="22"/>
                <w:szCs w:val="22"/>
                <w:lang w:val="en-US" w:eastAsia="zh-CN"/>
              </w:rPr>
            </w:pPr>
            <w:r>
              <w:rPr>
                <w:rFonts w:hint="default" w:ascii="Times New Roman" w:hAnsi="Times New Roman" w:eastAsia="宋体" w:cs="Times New Roman"/>
                <w:b/>
                <w:bCs/>
                <w:sz w:val="22"/>
                <w:szCs w:val="22"/>
                <w:lang w:val="en-US" w:eastAsia="zh-CN"/>
              </w:rPr>
              <w:t>公司名称</w:t>
            </w:r>
          </w:p>
        </w:tc>
        <w:tc>
          <w:tcPr>
            <w:tcW w:w="5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rPr>
                <w:rFonts w:hint="default" w:ascii="Times New Roman" w:hAnsi="Times New Roman" w:eastAsia="宋体" w:cs="Times New Roman"/>
                <w:b/>
                <w:bCs/>
                <w:sz w:val="22"/>
                <w:szCs w:val="22"/>
                <w:lang w:val="en-US" w:eastAsia="zh-CN"/>
              </w:rPr>
            </w:pPr>
            <w:r>
              <w:rPr>
                <w:rFonts w:hint="eastAsia" w:ascii="Times New Roman" w:hAnsi="Times New Roman" w:cs="Times New Roman"/>
                <w:b/>
                <w:bCs/>
                <w:sz w:val="22"/>
                <w:szCs w:val="22"/>
                <w:lang w:val="en-US" w:eastAsia="zh-CN"/>
              </w:rPr>
              <w:t>经办业务</w:t>
            </w:r>
            <w:r>
              <w:rPr>
                <w:rFonts w:hint="default" w:ascii="Times New Roman" w:hAnsi="Times New Roman" w:eastAsia="宋体" w:cs="Times New Roman"/>
                <w:b/>
                <w:bCs/>
                <w:sz w:val="22"/>
                <w:szCs w:val="22"/>
                <w:lang w:val="en-US" w:eastAsia="zh-CN"/>
              </w:rPr>
              <w:t>地址</w:t>
            </w:r>
          </w:p>
        </w:tc>
        <w:tc>
          <w:tcPr>
            <w:tcW w:w="157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rPr>
                <w:rFonts w:hint="eastAsia" w:ascii="Times New Roman" w:hAnsi="Times New Roman" w:cs="Times New Roman"/>
                <w:b/>
                <w:bCs/>
                <w:sz w:val="22"/>
                <w:szCs w:val="22"/>
                <w:lang w:val="en-US" w:eastAsia="zh-CN"/>
              </w:rPr>
            </w:pPr>
            <w:r>
              <w:rPr>
                <w:rFonts w:hint="eastAsia" w:ascii="Times New Roman" w:hAnsi="Times New Roman" w:cs="Times New Roman"/>
                <w:b/>
                <w:bCs/>
                <w:sz w:val="22"/>
                <w:szCs w:val="22"/>
                <w:lang w:val="en-US" w:eastAsia="zh-CN"/>
              </w:rPr>
              <w:t>业务咨询</w:t>
            </w:r>
          </w:p>
          <w:p>
            <w:pPr>
              <w:keepNext w:val="0"/>
              <w:keepLines w:val="0"/>
              <w:pageBreakBefore w:val="0"/>
              <w:widowControl w:val="0"/>
              <w:kinsoku/>
              <w:wordWrap/>
              <w:overflowPunct/>
              <w:topLinePunct w:val="0"/>
              <w:autoSpaceDE/>
              <w:autoSpaceDN/>
              <w:bidi w:val="0"/>
              <w:adjustRightInd/>
              <w:snapToGrid/>
              <w:spacing w:after="0" w:line="300" w:lineRule="exact"/>
              <w:jc w:val="center"/>
              <w:rPr>
                <w:rFonts w:hint="default" w:ascii="Times New Roman" w:hAnsi="Times New Roman" w:eastAsia="宋体" w:cs="Times New Roman"/>
                <w:b/>
                <w:bCs/>
                <w:sz w:val="22"/>
                <w:szCs w:val="22"/>
                <w:lang w:val="en-US" w:eastAsia="zh-CN"/>
              </w:rPr>
            </w:pPr>
            <w:r>
              <w:rPr>
                <w:rFonts w:hint="default" w:ascii="Times New Roman" w:hAnsi="Times New Roman" w:eastAsia="宋体" w:cs="Times New Roman"/>
                <w:b/>
                <w:bCs/>
                <w:sz w:val="22"/>
                <w:szCs w:val="22"/>
                <w:lang w:val="en-US" w:eastAsia="zh-CN"/>
              </w:rPr>
              <w:t>联系方式</w:t>
            </w:r>
          </w:p>
          <w:p>
            <w:pPr>
              <w:keepNext w:val="0"/>
              <w:keepLines w:val="0"/>
              <w:pageBreakBefore w:val="0"/>
              <w:widowControl w:val="0"/>
              <w:kinsoku/>
              <w:wordWrap/>
              <w:overflowPunct/>
              <w:topLinePunct w:val="0"/>
              <w:autoSpaceDE/>
              <w:autoSpaceDN/>
              <w:bidi w:val="0"/>
              <w:adjustRightInd/>
              <w:snapToGrid/>
              <w:spacing w:after="0" w:line="300" w:lineRule="exact"/>
              <w:jc w:val="center"/>
              <w:rPr>
                <w:rFonts w:hint="default" w:ascii="Times New Roman" w:hAnsi="Times New Roman" w:eastAsia="宋体" w:cs="Times New Roman"/>
                <w:b/>
                <w:bCs/>
                <w:sz w:val="22"/>
                <w:szCs w:val="22"/>
                <w:lang w:val="en-US" w:eastAsia="zh-CN"/>
              </w:rPr>
            </w:pPr>
            <w:r>
              <w:rPr>
                <w:rFonts w:hint="eastAsia" w:ascii="Times New Roman" w:hAnsi="Times New Roman" w:cs="Times New Roman"/>
                <w:b/>
                <w:bCs/>
                <w:sz w:val="22"/>
                <w:szCs w:val="22"/>
                <w:lang w:val="en-US" w:eastAsia="zh-CN"/>
              </w:rPr>
              <w:t>（固定电话）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jc w:val="center"/>
        </w:trPr>
        <w:tc>
          <w:tcPr>
            <w:tcW w:w="87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1</w:t>
            </w:r>
          </w:p>
        </w:tc>
        <w:tc>
          <w:tcPr>
            <w:tcW w:w="35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中国人寿财产保险股份有限公司霍邱县支公司</w:t>
            </w:r>
          </w:p>
        </w:tc>
        <w:tc>
          <w:tcPr>
            <w:tcW w:w="5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安徽省霍邱县新店镇徽盐·锦绣名门1幢商业401-411室</w:t>
            </w:r>
          </w:p>
        </w:tc>
        <w:tc>
          <w:tcPr>
            <w:tcW w:w="157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0564-2725881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2" w:hRule="atLeast"/>
          <w:jc w:val="center"/>
        </w:trPr>
        <w:tc>
          <w:tcPr>
            <w:tcW w:w="87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2</w:t>
            </w:r>
          </w:p>
        </w:tc>
        <w:tc>
          <w:tcPr>
            <w:tcW w:w="35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中国人民财产保险股份有限公司霍邱支公司</w:t>
            </w:r>
          </w:p>
        </w:tc>
        <w:tc>
          <w:tcPr>
            <w:tcW w:w="5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安徽省六安市霍邱县城关镇光明大道652号</w:t>
            </w:r>
          </w:p>
        </w:tc>
        <w:tc>
          <w:tcPr>
            <w:tcW w:w="157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0564-</w:t>
            </w:r>
            <w:r>
              <w:rPr>
                <w:rFonts w:hint="default" w:ascii="Times New Roman" w:hAnsi="Times New Roman" w:eastAsia="宋体" w:cs="Times New Roman"/>
                <w:i w:val="0"/>
                <w:color w:val="000000"/>
                <w:kern w:val="0"/>
                <w:sz w:val="22"/>
                <w:szCs w:val="22"/>
                <w:u w:val="none"/>
                <w:lang w:val="en-US" w:eastAsia="zh-CN" w:bidi="ar"/>
              </w:rPr>
              <w:t>6032532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jc w:val="center"/>
        </w:trPr>
        <w:tc>
          <w:tcPr>
            <w:tcW w:w="87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3</w:t>
            </w:r>
          </w:p>
        </w:tc>
        <w:tc>
          <w:tcPr>
            <w:tcW w:w="35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太平财产保险有限公司霍邱支公司</w:t>
            </w:r>
          </w:p>
        </w:tc>
        <w:tc>
          <w:tcPr>
            <w:tcW w:w="5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安徽省六安市霍邱县城关镇西湖大道与蓼中路交叉口滨湖商厦工农兵桥头圆盘东北角一层、二层</w:t>
            </w:r>
          </w:p>
        </w:tc>
        <w:tc>
          <w:tcPr>
            <w:tcW w:w="157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 xml:space="preserve">0564- 7206202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7" w:hRule="atLeast"/>
          <w:jc w:val="center"/>
        </w:trPr>
        <w:tc>
          <w:tcPr>
            <w:tcW w:w="87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4</w:t>
            </w:r>
          </w:p>
        </w:tc>
        <w:tc>
          <w:tcPr>
            <w:tcW w:w="35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中国太平洋财产保险股份有限公司霍邱支公司</w:t>
            </w:r>
          </w:p>
        </w:tc>
        <w:tc>
          <w:tcPr>
            <w:tcW w:w="5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安徽省六安市霍邱县城关镇卧阳锦绣城6幢</w:t>
            </w:r>
          </w:p>
        </w:tc>
        <w:tc>
          <w:tcPr>
            <w:tcW w:w="157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0564-6080507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7" w:hRule="atLeast"/>
          <w:jc w:val="center"/>
        </w:trPr>
        <w:tc>
          <w:tcPr>
            <w:tcW w:w="87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5</w:t>
            </w:r>
          </w:p>
        </w:tc>
        <w:tc>
          <w:tcPr>
            <w:tcW w:w="35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中国大地财产保险股份有限公司霍邱支公司</w:t>
            </w:r>
          </w:p>
        </w:tc>
        <w:tc>
          <w:tcPr>
            <w:tcW w:w="5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霍邱县城关镇东湖社区建兴路</w:t>
            </w:r>
          </w:p>
        </w:tc>
        <w:tc>
          <w:tcPr>
            <w:tcW w:w="157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0564-6066962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jc w:val="center"/>
        </w:trPr>
        <w:tc>
          <w:tcPr>
            <w:tcW w:w="87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6</w:t>
            </w:r>
          </w:p>
        </w:tc>
        <w:tc>
          <w:tcPr>
            <w:tcW w:w="35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华安财产保险股份有限公司霍邱支公司</w:t>
            </w:r>
          </w:p>
        </w:tc>
        <w:tc>
          <w:tcPr>
            <w:tcW w:w="5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六安市霍邱县城关镇蓼城路182号</w:t>
            </w:r>
          </w:p>
        </w:tc>
        <w:tc>
          <w:tcPr>
            <w:tcW w:w="157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0564-6095556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7" w:hRule="atLeast"/>
          <w:jc w:val="center"/>
        </w:trPr>
        <w:tc>
          <w:tcPr>
            <w:tcW w:w="87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7</w:t>
            </w:r>
          </w:p>
        </w:tc>
        <w:tc>
          <w:tcPr>
            <w:tcW w:w="35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中国平安财产保险股份有限公司霍邱支公司</w:t>
            </w:r>
          </w:p>
        </w:tc>
        <w:tc>
          <w:tcPr>
            <w:tcW w:w="566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安徽省六安市霍邱县城关镇双湖东路新华苑</w:t>
            </w:r>
          </w:p>
        </w:tc>
        <w:tc>
          <w:tcPr>
            <w:tcW w:w="157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cs="Times New Roman"/>
                <w:i w:val="0"/>
                <w:color w:val="000000"/>
                <w:kern w:val="0"/>
                <w:sz w:val="22"/>
                <w:szCs w:val="22"/>
                <w:u w:val="none"/>
                <w:lang w:val="en-US" w:eastAsia="zh-CN" w:bidi="ar"/>
              </w:rPr>
            </w:pPr>
            <w:r>
              <w:rPr>
                <w:rFonts w:hint="eastAsia" w:ascii="Times New Roman" w:hAnsi="Times New Roman" w:cs="Times New Roman"/>
                <w:i w:val="0"/>
                <w:color w:val="000000"/>
                <w:kern w:val="0"/>
                <w:sz w:val="22"/>
                <w:szCs w:val="22"/>
                <w:u w:val="none"/>
                <w:lang w:val="en-US" w:eastAsia="zh-CN" w:bidi="ar"/>
              </w:rPr>
              <w:t>0564-6020083</w:t>
            </w:r>
          </w:p>
        </w:tc>
      </w:tr>
    </w:tbl>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GB2312">
    <w:altName w:val="仿宋"/>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OTk5YjFhZGRmNTQ5M2MwOWVjMjdiYjA1NjAzOGYifQ=="/>
    <w:docVar w:name="KSO_WPS_MARK_KEY" w:val="d536ab9e-a05a-4ec0-8092-ae621eaa1897"/>
  </w:docVars>
  <w:rsids>
    <w:rsidRoot w:val="00000000"/>
    <w:rsid w:val="02BF77F6"/>
    <w:rsid w:val="03070D55"/>
    <w:rsid w:val="04666AB6"/>
    <w:rsid w:val="1A8E2C2B"/>
    <w:rsid w:val="28D92B11"/>
    <w:rsid w:val="39421505"/>
    <w:rsid w:val="3A9B6AFB"/>
    <w:rsid w:val="4BF578B9"/>
    <w:rsid w:val="513D15DF"/>
    <w:rsid w:val="608A3687"/>
    <w:rsid w:val="675F613D"/>
    <w:rsid w:val="67F25CCE"/>
    <w:rsid w:val="70D64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86</Words>
  <Characters>98</Characters>
  <Lines>0</Lines>
  <Paragraphs>0</Paragraphs>
  <TotalTime>19</TotalTime>
  <ScaleCrop>false</ScaleCrop>
  <LinksUpToDate>false</LinksUpToDate>
  <CharactersWithSpaces>186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六局安段</cp:lastModifiedBy>
  <dcterms:modified xsi:type="dcterms:W3CDTF">2024-05-07T03:45:21Z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369D29D057C545F080C0471905763FEB_13</vt:lpwstr>
  </property>
</Properties>
</file>