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关于我市202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年度社会保险费缴费基数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有关问题的通知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各县区人力资源和社会保障局、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财政局、税务局、统计局、医疗保障局、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人事部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根据《关于发布2023年社会保险缴费基数上下限的通知》（皖人社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号）文件要求，现将我市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社会保险缴费基数有关问题通知如下：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、确定社会保险最高、最低缴费基数标准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我省2022年全口径城镇单位就业人员平均工资为6698.08元/月，以此核定2023年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六安市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社会保险个人缴费基数上限为20094元/月，下限为4019元/月。执行时间为2023年1月1日至12月31日。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、灵活就业等个体缴费人员社会保险缴费标准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18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18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180"/>
          <w:sz w:val="32"/>
          <w:szCs w:val="32"/>
          <w:lang w:val="en-US" w:eastAsia="zh-CN"/>
        </w:rPr>
        <w:t>.企业职工养老保险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缴费标准。</w:t>
      </w:r>
      <w:r>
        <w:rPr>
          <w:rFonts w:hint="default" w:ascii="Times New Roman" w:hAnsi="Times New Roman" w:eastAsia="仿宋_GB2312" w:cs="Times New Roman"/>
          <w:kern w:val="180"/>
          <w:sz w:val="32"/>
          <w:szCs w:val="32"/>
          <w:lang w:val="en-US" w:eastAsia="zh-CN"/>
        </w:rPr>
        <w:t>以个人身份参保的个体工商户和</w:t>
      </w:r>
      <w:r>
        <w:rPr>
          <w:rFonts w:hint="default" w:ascii="Times New Roman" w:hAnsi="Times New Roman" w:eastAsia="仿宋_GB2312" w:cs="Times New Roman"/>
          <w:kern w:val="180"/>
          <w:sz w:val="32"/>
          <w:szCs w:val="32"/>
        </w:rPr>
        <w:t>灵活就业人员</w:t>
      </w:r>
      <w:r>
        <w:rPr>
          <w:rFonts w:hint="default" w:ascii="Times New Roman" w:hAnsi="Times New Roman" w:eastAsia="仿宋_GB2312" w:cs="Times New Roman"/>
          <w:kern w:val="180"/>
          <w:sz w:val="32"/>
          <w:szCs w:val="32"/>
          <w:lang w:val="en-US" w:eastAsia="zh-CN"/>
        </w:rPr>
        <w:t>可在缴费基数上下限范围内选择适当的缴费基数，按月、按季、按半年、按年缴纳企业职工基本养老保险费，</w:t>
      </w:r>
      <w:r>
        <w:rPr>
          <w:rFonts w:hint="default" w:ascii="Times New Roman" w:hAnsi="Times New Roman" w:eastAsia="仿宋_GB2312" w:cs="Times New Roman"/>
          <w:kern w:val="180"/>
          <w:sz w:val="32"/>
          <w:szCs w:val="32"/>
        </w:rPr>
        <w:t>缴费费率为20%。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</w:t>
      </w:r>
      <w:r>
        <w:rPr>
          <w:rFonts w:hint="default" w:ascii="Times New Roman" w:hAnsi="Times New Roman" w:eastAsia="仿宋_GB2312" w:cs="Times New Roman"/>
          <w:kern w:val="180"/>
          <w:sz w:val="32"/>
          <w:szCs w:val="32"/>
        </w:rPr>
        <w:t>缴费标准如下：</w:t>
      </w:r>
    </w:p>
    <w:tbl>
      <w:tblPr>
        <w:tblStyle w:val="1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262"/>
        <w:gridCol w:w="2270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</w:rPr>
              <w:t>缴费比例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</w:rPr>
              <w:t>月缴费基数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</w:rPr>
              <w:t>月缴费金额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</w:rPr>
              <w:t>年缴费金额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803.8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937.8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1071.6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1205.6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1339.6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150%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2009.4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200%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13396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2679.2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250%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16745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3349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300%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20094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4018.8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48225.6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2.基本医疗保险缴费标准。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以个人身份参保的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个体工商户和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灵活就业人员可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缴费基数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下限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4019元/月，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自主选择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5.5%或者8.5%的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缴费费率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职工医疗救助金为每人每月12元，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按月足额缴纳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医疗保险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费用。</w:t>
      </w:r>
    </w:p>
    <w:tbl>
      <w:tblPr>
        <w:tblStyle w:val="1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55"/>
        <w:gridCol w:w="1562"/>
        <w:gridCol w:w="1457"/>
        <w:gridCol w:w="198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个体医保缴费标准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缴费费率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基本医疗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月缴费（元）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医疗救助金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</w:rPr>
              <w:t>月缴费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金额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</w:rPr>
              <w:t>年缴费金额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kern w:val="180"/>
                <w:sz w:val="24"/>
                <w:szCs w:val="24"/>
                <w:lang w:val="en-US" w:eastAsia="zh-CN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单建统筹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5.5%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221.05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 w:eastAsia="zh-CN"/>
              </w:rPr>
              <w:t>233.05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 w:eastAsia="zh-CN"/>
              </w:rPr>
              <w:t>2796.6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统账结合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8.5%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341.62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180"/>
                <w:sz w:val="24"/>
                <w:szCs w:val="24"/>
                <w:lang w:val="en-US" w:eastAsia="zh-CN"/>
              </w:rPr>
              <w:t>353.62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180"/>
                <w:sz w:val="24"/>
                <w:szCs w:val="24"/>
                <w:lang w:val="en-US" w:eastAsia="zh-CN"/>
              </w:rPr>
              <w:t>4243.44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180"/>
          <w:sz w:val="32"/>
          <w:szCs w:val="32"/>
          <w:lang w:val="en-US" w:eastAsia="zh-CN"/>
        </w:rPr>
        <w:t>以个人身份参保的个体工商户和</w:t>
      </w:r>
      <w:r>
        <w:rPr>
          <w:rFonts w:hint="default" w:ascii="Times New Roman" w:hAnsi="Times New Roman" w:eastAsia="仿宋_GB2312" w:cs="Times New Roman"/>
          <w:kern w:val="180"/>
          <w:sz w:val="32"/>
          <w:szCs w:val="32"/>
        </w:rPr>
        <w:t>灵活就业人员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未重新申报缴费基数的，养老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缴费标准默认按上一年度选定的缴费比例确定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医疗保险缴费标准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默认按上一年度其选定的缴费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费率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4.参保人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可通过皖事通、微信、支付宝相关入口缴纳社会保险费，也可通过工商银行、农业银行、中国银行、建设银行、交通银行、徽商银行、安徽农金、邮储银行等商业银行营业网点柜面缴纳社会保险费，以及前往当地税务机关办税服务厅办理缴费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参保单位及其职工缴费基数差额调整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2023年缴费基数上下限公布后，参保单位及其职工需要差额结算的，可在2023年年底前分次或一次性结算到位，期间不加收滞纳金和利息。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根据《关于公布2023年社会保险缴费基数下限暂行标准的通告》规定，已执行2023年社会保险缴费基数下限暂行标准的参保单位及职工，需要结算缴费基数差额的，可选择抵扣2023年剩余月份的社会保险费，也可选择退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四、高度重视，精心组织，认真部署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县区有关部门要加强协同配合，精心部署实施，加大政策宣传力度，切实做好2023年全市社会保险缴费基数核定工作。各部门要提高经办服务水平，通过广泛发布公告、精准推送等方式通知到参保单位及职工（含灵活就业缴费人员），准确核定缴费基数差额，如实记录缴费信息，维护参保人员合法权益。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00" w:lineRule="exact"/>
        <w:ind w:right="317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六安市人力资源和社会保障局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           六安市财政局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 w:firstLine="45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 w:firstLine="45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 w:firstLine="45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 w:firstLine="45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国家税务总局六安市税务局              六安市统计局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 w:firstLine="4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 w:firstLine="4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 w:firstLine="4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 w:firstLine="45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六安市医疗保障局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 w:firstLine="45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日</w:t>
      </w:r>
    </w:p>
    <w:p>
      <w:pPr>
        <w:pStyle w:val="12"/>
        <w:ind w:left="0" w:leftChars="0" w:firstLine="0" w:firstLineChars="0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" w:eastAsia="zh-CN" w:bidi="ar-SA"/>
        </w:rPr>
      </w:pPr>
      <w:bookmarkStart w:id="0" w:name="_GoBack"/>
      <w:bookmarkEnd w:id="0"/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317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928" w:right="1417" w:bottom="1474" w:left="1587" w:header="680" w:footer="1361" w:gutter="0"/>
      <w:pgNumType w:fmt="numberInDash"/>
      <w:cols w:space="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23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3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3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3"/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Style w:val="23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23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23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3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3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3"/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Style w:val="23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MTVjZmNkYzM5ZTVlNmQ5NGU5YjQ3M2IxODkwZDkifQ=="/>
  </w:docVars>
  <w:rsids>
    <w:rsidRoot w:val="00172A27"/>
    <w:rsid w:val="00020001"/>
    <w:rsid w:val="00097A4D"/>
    <w:rsid w:val="000C55E7"/>
    <w:rsid w:val="002C36B1"/>
    <w:rsid w:val="002D30B3"/>
    <w:rsid w:val="002F7FD7"/>
    <w:rsid w:val="00332129"/>
    <w:rsid w:val="00364074"/>
    <w:rsid w:val="0038606D"/>
    <w:rsid w:val="003D0533"/>
    <w:rsid w:val="003D1F28"/>
    <w:rsid w:val="004C13E5"/>
    <w:rsid w:val="00577640"/>
    <w:rsid w:val="005D3486"/>
    <w:rsid w:val="00685F3D"/>
    <w:rsid w:val="007373BE"/>
    <w:rsid w:val="007E1B91"/>
    <w:rsid w:val="007F7A45"/>
    <w:rsid w:val="00875D18"/>
    <w:rsid w:val="00893D57"/>
    <w:rsid w:val="008D58A1"/>
    <w:rsid w:val="00901003"/>
    <w:rsid w:val="009909A3"/>
    <w:rsid w:val="009B3D15"/>
    <w:rsid w:val="009B5DBB"/>
    <w:rsid w:val="009D2D4C"/>
    <w:rsid w:val="00A17951"/>
    <w:rsid w:val="00CF2964"/>
    <w:rsid w:val="00E61257"/>
    <w:rsid w:val="00EB41E0"/>
    <w:rsid w:val="00EF6FF2"/>
    <w:rsid w:val="00F40155"/>
    <w:rsid w:val="00FF2F7A"/>
    <w:rsid w:val="028642E4"/>
    <w:rsid w:val="03B12A3E"/>
    <w:rsid w:val="04977BF2"/>
    <w:rsid w:val="095C6921"/>
    <w:rsid w:val="0AB41A7E"/>
    <w:rsid w:val="0BD403B0"/>
    <w:rsid w:val="0C665DD1"/>
    <w:rsid w:val="0EF7177F"/>
    <w:rsid w:val="0FC147BB"/>
    <w:rsid w:val="11CF6B6B"/>
    <w:rsid w:val="15B55C69"/>
    <w:rsid w:val="169E3D0E"/>
    <w:rsid w:val="16E71BF8"/>
    <w:rsid w:val="178050B9"/>
    <w:rsid w:val="187237A6"/>
    <w:rsid w:val="1DD25281"/>
    <w:rsid w:val="1F4C7E14"/>
    <w:rsid w:val="216A103B"/>
    <w:rsid w:val="22554047"/>
    <w:rsid w:val="230C7214"/>
    <w:rsid w:val="246200F0"/>
    <w:rsid w:val="283F2C0C"/>
    <w:rsid w:val="2D764AE5"/>
    <w:rsid w:val="2E7157C2"/>
    <w:rsid w:val="339D7865"/>
    <w:rsid w:val="33DE59D6"/>
    <w:rsid w:val="34383DD1"/>
    <w:rsid w:val="344C0E17"/>
    <w:rsid w:val="350A7C59"/>
    <w:rsid w:val="36AC5B11"/>
    <w:rsid w:val="38C84713"/>
    <w:rsid w:val="39A8163A"/>
    <w:rsid w:val="3A1D6D81"/>
    <w:rsid w:val="40316936"/>
    <w:rsid w:val="418807D8"/>
    <w:rsid w:val="44F05012"/>
    <w:rsid w:val="466638BC"/>
    <w:rsid w:val="486F410F"/>
    <w:rsid w:val="4C531CD6"/>
    <w:rsid w:val="4D013D03"/>
    <w:rsid w:val="50EA500B"/>
    <w:rsid w:val="55AC41D3"/>
    <w:rsid w:val="55D01AD3"/>
    <w:rsid w:val="561F7BCC"/>
    <w:rsid w:val="5AA17BAD"/>
    <w:rsid w:val="5F6B78A7"/>
    <w:rsid w:val="5FD27396"/>
    <w:rsid w:val="6043046C"/>
    <w:rsid w:val="614E4951"/>
    <w:rsid w:val="619863BE"/>
    <w:rsid w:val="619C7443"/>
    <w:rsid w:val="65186FC9"/>
    <w:rsid w:val="655303F8"/>
    <w:rsid w:val="669F242F"/>
    <w:rsid w:val="6A7D164C"/>
    <w:rsid w:val="6B2234B2"/>
    <w:rsid w:val="6F340B5E"/>
    <w:rsid w:val="733B0224"/>
    <w:rsid w:val="769A13A5"/>
    <w:rsid w:val="7A844AFF"/>
    <w:rsid w:val="7BFD388A"/>
    <w:rsid w:val="7CE70E2A"/>
    <w:rsid w:val="7D3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qFormat="1" w:unhideWhenUsed="0" w:uiPriority="99" w:semiHidden="0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9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9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9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9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9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9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9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1"/>
    <w:qFormat/>
    <w:locked/>
    <w:uiPriority w:val="0"/>
    <w:pPr>
      <w:outlineLvl w:val="1"/>
    </w:pPr>
    <w:rPr>
      <w:rFonts w:ascii="Cambria" w:hAnsi="Cambria"/>
      <w:kern w:val="0"/>
      <w:szCs w:val="20"/>
    </w:rPr>
  </w:style>
  <w:style w:type="paragraph" w:styleId="3">
    <w:name w:val="heading 3"/>
    <w:basedOn w:val="1"/>
    <w:next w:val="1"/>
    <w:qFormat/>
    <w:locked/>
    <w:uiPriority w:val="0"/>
    <w:pPr>
      <w:keepNext/>
      <w:keepLines/>
      <w:spacing w:before="260" w:after="260" w:line="416" w:lineRule="auto"/>
      <w:outlineLvl w:val="2"/>
    </w:pPr>
    <w:rPr>
      <w:rFonts w:eastAsia="宋体" w:cs="Times New Roman"/>
      <w:b/>
      <w:bCs/>
      <w:sz w:val="32"/>
      <w:szCs w:val="32"/>
    </w:rPr>
  </w:style>
  <w:style w:type="character" w:default="1" w:styleId="22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qFormat/>
    <w:uiPriority w:val="99"/>
    <w:pPr>
      <w:jc w:val="center"/>
    </w:pPr>
    <w:rPr>
      <w:rFonts w:ascii="黑体" w:eastAsia="黑体"/>
      <w:b/>
      <w:w w:val="80"/>
      <w:kern w:val="0"/>
      <w:sz w:val="48"/>
      <w:szCs w:val="20"/>
    </w:rPr>
  </w:style>
  <w:style w:type="paragraph" w:styleId="5">
    <w:name w:val="Body Text Indent"/>
    <w:basedOn w:val="1"/>
    <w:next w:val="6"/>
    <w:qFormat/>
    <w:locked/>
    <w:uiPriority w:val="99"/>
    <w:pPr>
      <w:spacing w:after="120"/>
      <w:ind w:left="420" w:leftChars="200"/>
    </w:pPr>
  </w:style>
  <w:style w:type="paragraph" w:styleId="6">
    <w:name w:val="envelope return"/>
    <w:basedOn w:val="1"/>
    <w:qFormat/>
    <w:locked/>
    <w:uiPriority w:val="99"/>
    <w:pPr>
      <w:snapToGrid w:val="0"/>
    </w:pPr>
    <w:rPr>
      <w:rFonts w:ascii="Arial" w:hAnsi="Arial"/>
    </w:rPr>
  </w:style>
  <w:style w:type="paragraph" w:styleId="7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8">
    <w:name w:val="Balloon Text"/>
    <w:basedOn w:val="1"/>
    <w:link w:val="26"/>
    <w:qFormat/>
    <w:uiPriority w:val="99"/>
    <w:rPr>
      <w:sz w:val="18"/>
      <w:szCs w:val="18"/>
    </w:rPr>
  </w:style>
  <w:style w:type="paragraph" w:styleId="9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 2"/>
    <w:basedOn w:val="5"/>
    <w:qFormat/>
    <w:locked/>
    <w:uiPriority w:val="99"/>
    <w:pPr>
      <w:spacing w:after="0"/>
      <w:ind w:left="0" w:leftChars="0" w:firstLine="420" w:firstLineChars="200"/>
    </w:pPr>
    <w:rPr>
      <w:rFonts w:ascii="Arial" w:hAnsi="Arial" w:eastAsia="仿宋_GB2312"/>
      <w:sz w:val="28"/>
    </w:rPr>
  </w:style>
  <w:style w:type="table" w:styleId="14">
    <w:name w:val="Table Grid"/>
    <w:basedOn w:val="1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Medium Grid 3"/>
    <w:basedOn w:val="13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6">
    <w:name w:val="Medium Grid 3 Accent 1"/>
    <w:basedOn w:val="13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7">
    <w:name w:val="Medium Grid 3 Accent 2"/>
    <w:basedOn w:val="13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8">
    <w:name w:val="Medium Grid 3 Accent 3"/>
    <w:basedOn w:val="13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9">
    <w:name w:val="Medium Grid 3 Accent 4"/>
    <w:basedOn w:val="13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0">
    <w:name w:val="Medium Grid 3 Accent 5"/>
    <w:basedOn w:val="13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1">
    <w:name w:val="Medium Grid 3 Accent 6"/>
    <w:basedOn w:val="13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3">
    <w:name w:val="page number"/>
    <w:basedOn w:val="22"/>
    <w:qFormat/>
    <w:uiPriority w:val="99"/>
    <w:rPr>
      <w:rFonts w:cs="Times New Roman"/>
    </w:rPr>
  </w:style>
  <w:style w:type="character" w:customStyle="1" w:styleId="24">
    <w:name w:val="Body Text Char"/>
    <w:basedOn w:val="22"/>
    <w:link w:val="4"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Date Char"/>
    <w:basedOn w:val="22"/>
    <w:link w:val="7"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Balloon Text Char"/>
    <w:basedOn w:val="22"/>
    <w:link w:val="8"/>
    <w:qFormat/>
    <w:locked/>
    <w:uiPriority w:val="99"/>
    <w:rPr>
      <w:rFonts w:cs="Times New Roman"/>
      <w:sz w:val="2"/>
    </w:rPr>
  </w:style>
  <w:style w:type="character" w:customStyle="1" w:styleId="27">
    <w:name w:val="Footer Char"/>
    <w:basedOn w:val="22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28">
    <w:name w:val="Header Char"/>
    <w:basedOn w:val="22"/>
    <w:link w:val="10"/>
    <w:qFormat/>
    <w:locked/>
    <w:uiPriority w:val="99"/>
    <w:rPr>
      <w:rFonts w:cs="Times New Roman"/>
      <w:sz w:val="18"/>
      <w:szCs w:val="18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</w:pPr>
    <w:rPr>
      <w:rFonts w:ascii="宋体" w:hAnsi="宋体" w:eastAsia="宋体" w:cs="Times New Roman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1167</Words>
  <Characters>1442</Characters>
  <Lines>0</Lines>
  <Paragraphs>0</Paragraphs>
  <TotalTime>7</TotalTime>
  <ScaleCrop>false</ScaleCrop>
  <LinksUpToDate>false</LinksUpToDate>
  <CharactersWithSpaces>1486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2020-12-21T07:02:00Z</dcterms:created>
  <dc:creator>高先兵</dc:creator>
  <cp:lastModifiedBy>胡晓胖</cp:lastModifiedBy>
  <cp:lastPrinted>2023-08-08T09:39:00Z</cp:lastPrinted>
  <dcterms:modified xsi:type="dcterms:W3CDTF">2023-08-09T03:18:51Z</dcterms:modified>
  <dc:title>关于2014年7月至2015年6月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1800068A9D474C3C8ED67D9DCF0B7A98_13</vt:lpwstr>
  </property>
</Properties>
</file>