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0" w:lineRule="exact"/>
        <w:ind w:left="0" w:right="0"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333333"/>
          <w:spacing w:val="0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333333"/>
          <w:spacing w:val="0"/>
          <w:sz w:val="44"/>
          <w:szCs w:val="44"/>
          <w:bdr w:val="none" w:color="auto" w:sz="0" w:space="0"/>
          <w:shd w:val="clear" w:fill="FFFFFF"/>
        </w:rPr>
        <w:t>六安市人力资源和社会保障局2023年政府信息公开工作年度报告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0" w:lineRule="exact"/>
        <w:ind w:left="0" w:right="0" w:firstLine="640"/>
        <w:jc w:val="both"/>
        <w:rPr>
          <w:rFonts w:ascii="仿宋_GB2312" w:hAnsi="Times New Roman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0" w:lineRule="exact"/>
        <w:ind w:left="0" w:right="0" w:firstLine="640"/>
        <w:jc w:val="both"/>
        <w:rPr>
          <w:rFonts w:ascii="Calibri" w:hAnsi="Calibri" w:cs="Calibri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ascii="仿宋_GB2312" w:hAnsi="Times New Roman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根据新修订</w:t>
      </w:r>
      <w:r>
        <w:rPr>
          <w:rFonts w:hint="eastAsia" w:ascii="仿宋_GB2312" w:hAnsi="Calibri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的</w:t>
      </w: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《中华人民共和国政府信息公开条例》（以下简称《条例》）要求，特向社会公布六安市人力资源和社会保障局</w:t>
      </w:r>
      <w:r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2023</w:t>
      </w: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年政府信息公开工作年度报告。本报告由政府信息公开总体情况、行政机关主动公开政府信息情况、收到和处理政府信息公开申请情况、政府信息公开行政复议和行政诉讼情况、政府信息公开工作存在的主要问题及改进情况、其他需要报告的事项共六大部分组成</w:t>
      </w:r>
      <w:r>
        <w:rPr>
          <w:rFonts w:hint="eastAsia" w:ascii="仿宋_GB2312" w:hAnsi="Calibri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，</w:t>
      </w: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所列数据统计期限自</w:t>
      </w:r>
      <w:r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2023</w:t>
      </w: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年</w:t>
      </w:r>
      <w:r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1</w:t>
      </w: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月</w:t>
      </w:r>
      <w:r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1</w:t>
      </w: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日起至</w:t>
      </w:r>
      <w:r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2023</w:t>
      </w: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年</w:t>
      </w:r>
      <w:r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12</w:t>
      </w: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月</w:t>
      </w:r>
      <w:r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31</w:t>
      </w: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日止。如对本报告有任何疑问，请与六安市人力资源和社会保障局联系（地址：六安市人力资源和社会保障局</w:t>
      </w:r>
      <w:r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702</w:t>
      </w: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办公室；邮编：</w:t>
      </w:r>
      <w:r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237000</w:t>
      </w: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；联系电话：</w:t>
      </w:r>
      <w:r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3371215</w:t>
      </w: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）。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0" w:lineRule="exact"/>
        <w:ind w:left="0" w:right="0" w:firstLine="640"/>
        <w:jc w:val="both"/>
        <w:rPr>
          <w:rFonts w:hint="default" w:ascii="Calibri" w:hAnsi="Calibri" w:cs="Calibri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ascii="黑体" w:hAnsi="宋体" w:eastAsia="黑体" w:cs="黑体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一、总体情况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0" w:lineRule="exact"/>
        <w:ind w:left="0" w:right="0" w:firstLine="643"/>
        <w:jc w:val="both"/>
        <w:rPr>
          <w:rFonts w:hint="default" w:ascii="Calibri" w:hAnsi="Calibri" w:cs="Calibri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ascii="楷体_GB2312" w:hAnsi="Times New Roman" w:eastAsia="楷体_GB2312" w:cs="楷体_GB2312"/>
          <w:b/>
          <w:bCs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（一）主动公开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0" w:lineRule="exact"/>
        <w:ind w:left="0" w:right="0" w:firstLine="640"/>
        <w:jc w:val="both"/>
        <w:rPr>
          <w:rFonts w:hint="default" w:ascii="Calibri" w:hAnsi="Calibri" w:cs="Calibri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仿宋_GB2312" w:hAnsi="Times New Roman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主动公开政府信息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1000</w:t>
      </w:r>
      <w:r>
        <w:rPr>
          <w:rFonts w:hint="eastAsia" w:ascii="仿宋_GB2312" w:hAnsi="Times New Roman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余条，重点领域信息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300</w:t>
      </w:r>
      <w:r>
        <w:rPr>
          <w:rFonts w:hint="eastAsia" w:ascii="仿宋_GB2312" w:hAnsi="Times New Roman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余条，解读及回应信息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100</w:t>
      </w:r>
      <w:r>
        <w:rPr>
          <w:rFonts w:hint="eastAsia" w:ascii="仿宋_GB2312" w:hAnsi="Times New Roman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余条。</w:t>
      </w:r>
      <w:r>
        <w:rPr>
          <w:rFonts w:hint="eastAsia" w:ascii="仿宋_GB2312" w:hAnsi="Calibri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强化就业创业、社会保险重点领域的信息公开。</w:t>
      </w:r>
      <w:r>
        <w:rPr>
          <w:rFonts w:hint="eastAsia" w:ascii="仿宋_GB2312" w:hAnsi="Times New Roman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按月公开动态信息，定期维护办事指南、更新政策制度；按要求增加相关内容，调整重点领域栏目；扎实做好就业促进、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“</w:t>
      </w:r>
      <w:r>
        <w:rPr>
          <w:rFonts w:hint="eastAsia" w:ascii="仿宋_GB2312" w:hAnsi="Times New Roman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新徽菜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·</w:t>
      </w:r>
      <w:r>
        <w:rPr>
          <w:rFonts w:hint="eastAsia" w:ascii="仿宋_GB2312" w:hAnsi="Times New Roman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名徽厨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”</w:t>
      </w:r>
      <w:r>
        <w:rPr>
          <w:rFonts w:hint="eastAsia" w:ascii="仿宋_GB2312" w:hAnsi="Times New Roman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暖民心活动信息的更新工作；加强涉及市场主体、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“</w:t>
      </w:r>
      <w:r>
        <w:rPr>
          <w:rFonts w:hint="eastAsia" w:ascii="仿宋_GB2312" w:hAnsi="Times New Roman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稳就业、保就业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”</w:t>
      </w:r>
      <w:r>
        <w:rPr>
          <w:rFonts w:hint="eastAsia" w:ascii="仿宋_GB2312" w:hAnsi="Times New Roman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信息公开，及时发布支持市场主体纾困发展的政策、工作信息；加大减负稳岗扩就业政策解读。持续推进基层政务公开标准化、规范化工作，制定基层两化定期评估工作实施方案，完成对各县区</w:t>
      </w:r>
      <w:r>
        <w:rPr>
          <w:rFonts w:hint="eastAsia" w:ascii="仿宋_GB2312" w:hAnsi="Calibri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“</w:t>
      </w:r>
      <w:r>
        <w:rPr>
          <w:rFonts w:hint="eastAsia" w:ascii="仿宋_GB2312" w:hAnsi="Times New Roman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两化</w:t>
      </w:r>
      <w:r>
        <w:rPr>
          <w:rFonts w:hint="eastAsia" w:ascii="仿宋_GB2312" w:hAnsi="Calibri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”</w:t>
      </w:r>
      <w:r>
        <w:rPr>
          <w:rFonts w:hint="eastAsia" w:ascii="仿宋_GB2312" w:hAnsi="Times New Roman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考核工作，测评结果及时反馈至县区并督查整改。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0" w:lineRule="exact"/>
        <w:ind w:left="0" w:right="0" w:firstLine="643"/>
        <w:jc w:val="both"/>
        <w:rPr>
          <w:rFonts w:hint="default" w:ascii="Calibri" w:hAnsi="Calibri" w:cs="Calibri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楷体_GB2312" w:hAnsi="Times New Roman" w:eastAsia="楷体_GB2312" w:cs="楷体_GB2312"/>
          <w:b/>
          <w:bCs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（二）依申请公开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0" w:lineRule="exact"/>
        <w:ind w:left="0" w:right="0" w:firstLine="640"/>
        <w:jc w:val="both"/>
        <w:textAlignment w:val="center"/>
        <w:rPr>
          <w:rFonts w:hint="default" w:ascii="Calibri" w:hAnsi="Calibri" w:cs="Calibri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仿宋_GB2312" w:hAnsi="Times New Roman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共收到依申请公开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3</w:t>
      </w:r>
      <w:r>
        <w:rPr>
          <w:rFonts w:hint="eastAsia" w:ascii="仿宋_GB2312" w:hAnsi="Times New Roman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件，严格按照依申请公开制度开展答复工作。按要求做到当天受理、登记并交办科室，由各相关责任科室协同处理，依申请公开批办单由科室负责人、分管负责人、主要负责人层层审批后，以正式答复书形式回复申请人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0" w:lineRule="exact"/>
        <w:ind w:left="0" w:right="0" w:firstLine="643"/>
        <w:jc w:val="both"/>
        <w:rPr>
          <w:rFonts w:hint="default" w:ascii="Calibri" w:hAnsi="Calibri" w:cs="Calibri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楷体_GB2312" w:hAnsi="Times New Roman" w:eastAsia="楷体_GB2312" w:cs="楷体_GB2312"/>
          <w:b/>
          <w:bCs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（三）政府信息管理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0" w:lineRule="exact"/>
        <w:ind w:left="0" w:right="0" w:firstLine="420"/>
        <w:jc w:val="both"/>
        <w:rPr>
          <w:rFonts w:hint="default" w:ascii="Calibri" w:hAnsi="Calibri" w:cs="Calibri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仿宋_GB2312" w:hAnsi="Times New Roman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严格执行省级明确的行政规范性文件格式，高质量发布行政规范性文件正式版本。依法依规做好政府信息公开保密审查工作</w:t>
      </w: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，确保公开信息不涉及国家秘密、商业秘密和个人隐私。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0" w:lineRule="exact"/>
        <w:ind w:left="0" w:right="0" w:firstLine="643"/>
        <w:jc w:val="both"/>
        <w:rPr>
          <w:rFonts w:hint="default" w:ascii="Calibri" w:hAnsi="Calibri" w:cs="Calibri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楷体_GB2312" w:hAnsi="Times New Roman" w:eastAsia="楷体_GB2312" w:cs="楷体_GB2312"/>
          <w:b/>
          <w:bCs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（四）政府信息公开平台建设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0" w:lineRule="exact"/>
        <w:ind w:left="0" w:right="0" w:firstLine="640"/>
        <w:jc w:val="both"/>
        <w:rPr>
          <w:rFonts w:hint="default" w:ascii="Calibri" w:hAnsi="Calibri" w:cs="Calibri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及时更新重点领域栏目，做好政策文件梳理工作。扎实推进政务新媒体建设，微博、微信累计发布信息</w:t>
      </w:r>
      <w:r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2000</w:t>
      </w: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余条，内容覆盖人事人才、就业创业、社会保险、劳动关系等热点问题。其中</w:t>
      </w:r>
      <w:r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“</w:t>
      </w: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人社小知识系列视频</w:t>
      </w:r>
      <w:r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”</w:t>
      </w: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被大量转发，六安市居民服务</w:t>
      </w:r>
      <w:r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“</w:t>
      </w: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一卡通</w:t>
      </w:r>
      <w:r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”</w:t>
      </w: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应用情景剧系列宣传视频受到一致好评。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0" w:lineRule="exact"/>
        <w:ind w:left="0" w:right="0" w:firstLine="643"/>
        <w:jc w:val="both"/>
        <w:rPr>
          <w:rFonts w:hint="default" w:ascii="Calibri" w:hAnsi="Calibri" w:cs="Calibri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楷体_GB2312" w:hAnsi="Times New Roman" w:eastAsia="楷体_GB2312" w:cs="楷体_GB2312"/>
          <w:b/>
          <w:bCs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（五）监督保障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0" w:lineRule="exact"/>
        <w:ind w:left="0" w:right="0" w:firstLine="640"/>
        <w:jc w:val="both"/>
        <w:rPr>
          <w:rFonts w:hint="default" w:ascii="Calibri" w:hAnsi="Calibri" w:cs="Calibri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仿宋_GB2312" w:hAnsi="Times New Roman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一是</w:t>
      </w:r>
      <w:r>
        <w:rPr>
          <w:rFonts w:hint="eastAsia" w:ascii="仿宋_GB2312" w:hAnsi="Calibri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清单闭环推进。</w:t>
      </w:r>
      <w:r>
        <w:rPr>
          <w:rFonts w:hint="eastAsia" w:ascii="仿宋_GB2312" w:hAnsi="Times New Roman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制定了政务公开重点工作任务责任分解清单，将政务公开作为全局性的重点工作来抓，积极推进政务公开专项提升行动</w:t>
      </w:r>
      <w:r>
        <w:rPr>
          <w:rFonts w:hint="eastAsia" w:ascii="仿宋_GB2312" w:hAnsi="Calibri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，</w:t>
      </w:r>
      <w:r>
        <w:rPr>
          <w:rFonts w:hint="eastAsia" w:ascii="仿宋_GB2312" w:hAnsi="Times New Roman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做到目标清晰、责任明确，定期</w:t>
      </w:r>
      <w:r>
        <w:rPr>
          <w:rFonts w:hint="eastAsia" w:ascii="仿宋_GB2312" w:hAnsi="Calibri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检查工作落实情况，</w:t>
      </w:r>
      <w:r>
        <w:rPr>
          <w:rFonts w:hint="eastAsia" w:ascii="仿宋_GB2312" w:hAnsi="Times New Roman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总结成效。二是</w:t>
      </w:r>
      <w:r>
        <w:rPr>
          <w:rFonts w:hint="eastAsia" w:ascii="仿宋_GB2312" w:hAnsi="Calibri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加强工作宣传。</w:t>
      </w:r>
      <w:r>
        <w:rPr>
          <w:rFonts w:hint="eastAsia" w:ascii="仿宋_GB2312" w:hAnsi="Times New Roman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积极报送经验交流稿件，《抖音直播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“</w:t>
      </w:r>
      <w:r>
        <w:rPr>
          <w:rFonts w:hint="eastAsia" w:ascii="仿宋_GB2312" w:hAnsi="Times New Roman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带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”</w:t>
      </w:r>
      <w:r>
        <w:rPr>
          <w:rFonts w:hint="eastAsia" w:ascii="仿宋_GB2312" w:hAnsi="Times New Roman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岗位 人社政策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“</w:t>
      </w:r>
      <w:r>
        <w:rPr>
          <w:rFonts w:hint="eastAsia" w:ascii="仿宋_GB2312" w:hAnsi="Times New Roman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云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”</w:t>
      </w:r>
      <w:r>
        <w:rPr>
          <w:rFonts w:hint="eastAsia" w:ascii="仿宋_GB2312" w:hAnsi="Times New Roman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解读》</w:t>
      </w:r>
      <w:r>
        <w:rPr>
          <w:rFonts w:hint="eastAsia" w:ascii="仿宋_GB2312" w:hAnsi="Calibri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等在</w:t>
      </w:r>
      <w:r>
        <w:rPr>
          <w:rFonts w:hint="eastAsia" w:ascii="仿宋_GB2312" w:hAnsi="Times New Roman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政务公开简报</w:t>
      </w:r>
      <w:r>
        <w:rPr>
          <w:rFonts w:hint="eastAsia" w:ascii="仿宋_GB2312" w:hAnsi="Calibri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中刊登</w:t>
      </w:r>
      <w:r>
        <w:rPr>
          <w:rFonts w:hint="eastAsia" w:ascii="仿宋_GB2312" w:hAnsi="Times New Roman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。三是</w:t>
      </w:r>
      <w:r>
        <w:rPr>
          <w:rFonts w:hint="eastAsia" w:ascii="仿宋_GB2312" w:hAnsi="Calibri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强化人员培训。</w:t>
      </w:r>
      <w:r>
        <w:rPr>
          <w:rFonts w:hint="eastAsia" w:ascii="仿宋_GB2312" w:hAnsi="Times New Roman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召开了政务公开工作专题培训会，涉及政务公开重点工作的科室、单位负责人和政务公开工作经办人参加会议，提高全局工作人员对政务公开工作的认识。四是</w:t>
      </w:r>
      <w:r>
        <w:rPr>
          <w:rFonts w:hint="eastAsia" w:ascii="仿宋_GB2312" w:hAnsi="Calibri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及时整改提高。</w:t>
      </w:r>
      <w:r>
        <w:rPr>
          <w:rFonts w:hint="eastAsia" w:ascii="仿宋_GB2312" w:hAnsi="Times New Roman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对省、市测评反馈的问题及时整改，并将问题进行汇总分析，尽量做到不重复扣分。</w:t>
      </w:r>
    </w:p>
    <w:bookmarkEnd w:id="0"/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both"/>
        <w:rPr>
          <w:rFonts w:hint="default" w:ascii="Calibri" w:hAnsi="Calibri" w:cs="Calibri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黑体" w:hAnsi="宋体" w:eastAsia="黑体" w:cs="黑体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二、主动公开政府信息情况</w:t>
      </w:r>
    </w:p>
    <w:tbl>
      <w:tblPr>
        <w:tblW w:w="873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334"/>
        <w:gridCol w:w="2435"/>
        <w:gridCol w:w="2435"/>
        <w:gridCol w:w="152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873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C6D9F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第二十条第（一）项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334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信息内容</w:t>
            </w:r>
          </w:p>
        </w:tc>
        <w:tc>
          <w:tcPr>
            <w:tcW w:w="243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本年制发件数</w:t>
            </w:r>
          </w:p>
        </w:tc>
        <w:tc>
          <w:tcPr>
            <w:tcW w:w="243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本年废止件数</w:t>
            </w:r>
          </w:p>
        </w:tc>
        <w:tc>
          <w:tcPr>
            <w:tcW w:w="152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现行有效件数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  <w:jc w:val="center"/>
        </w:trPr>
        <w:tc>
          <w:tcPr>
            <w:tcW w:w="2334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规章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</w:rPr>
              <w:t>0</w:t>
            </w:r>
          </w:p>
        </w:tc>
        <w:tc>
          <w:tcPr>
            <w:tcW w:w="152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334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行政规范性文件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</w:rPr>
              <w:t>2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</w:rPr>
              <w:t>0</w:t>
            </w:r>
          </w:p>
        </w:tc>
        <w:tc>
          <w:tcPr>
            <w:tcW w:w="152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8730" w:type="dxa"/>
            <w:gridSpan w:val="4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C6D9F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第二十条第（五）项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334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信息内容</w:t>
            </w:r>
          </w:p>
        </w:tc>
        <w:tc>
          <w:tcPr>
            <w:tcW w:w="6396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本年处理决定数量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334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行政许可</w:t>
            </w:r>
          </w:p>
        </w:tc>
        <w:tc>
          <w:tcPr>
            <w:tcW w:w="6396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</w:rPr>
              <w:t>135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8730" w:type="dxa"/>
            <w:gridSpan w:val="4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C6D9F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第二十条第（六）项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334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信息内容</w:t>
            </w:r>
          </w:p>
        </w:tc>
        <w:tc>
          <w:tcPr>
            <w:tcW w:w="6396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本年处理决定数量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  <w:jc w:val="center"/>
        </w:trPr>
        <w:tc>
          <w:tcPr>
            <w:tcW w:w="2334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行政处罚</w:t>
            </w:r>
          </w:p>
        </w:tc>
        <w:tc>
          <w:tcPr>
            <w:tcW w:w="6396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334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行政强制</w:t>
            </w:r>
          </w:p>
        </w:tc>
        <w:tc>
          <w:tcPr>
            <w:tcW w:w="6396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8730" w:type="dxa"/>
            <w:gridSpan w:val="4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C6D9F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第二十条第（八）项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334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信息内容</w:t>
            </w:r>
          </w:p>
        </w:tc>
        <w:tc>
          <w:tcPr>
            <w:tcW w:w="6396" w:type="dxa"/>
            <w:gridSpan w:val="3"/>
            <w:tcBorders>
              <w:top w:val="nil"/>
              <w:left w:val="nil"/>
              <w:bottom w:val="single" w:color="auto" w:sz="6" w:space="0"/>
              <w:right w:val="single" w:color="000000" w:sz="6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本年收费金额（单位：万元）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334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行政事业性收费</w:t>
            </w:r>
          </w:p>
        </w:tc>
        <w:tc>
          <w:tcPr>
            <w:tcW w:w="6396" w:type="dxa"/>
            <w:gridSpan w:val="3"/>
            <w:tcBorders>
              <w:top w:val="nil"/>
              <w:left w:val="nil"/>
              <w:bottom w:val="single" w:color="auto" w:sz="6" w:space="0"/>
              <w:right w:val="single" w:color="000000" w:sz="6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bdr w:val="none" w:color="auto" w:sz="0" w:space="0"/>
              </w:rPr>
              <w:t>0</w:t>
            </w:r>
          </w:p>
        </w:tc>
      </w:tr>
    </w:tbl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default" w:ascii="Calibri" w:hAnsi="Calibri" w:cs="Calibri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三、收到和处理政府信息公开申请情况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default" w:ascii="Calibri" w:hAnsi="Calibri" w:cs="Calibri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Calibri" w:hAnsi="Calibri" w:cs="Calibri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 </w:t>
      </w:r>
    </w:p>
    <w:tbl>
      <w:tblPr>
        <w:tblW w:w="9745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67"/>
        <w:gridCol w:w="943"/>
        <w:gridCol w:w="3219"/>
        <w:gridCol w:w="688"/>
        <w:gridCol w:w="688"/>
        <w:gridCol w:w="688"/>
        <w:gridCol w:w="688"/>
        <w:gridCol w:w="688"/>
        <w:gridCol w:w="688"/>
        <w:gridCol w:w="688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29" w:type="dxa"/>
            <w:gridSpan w:val="3"/>
            <w:vMerge w:val="restart"/>
            <w:tcBorders>
              <w:top w:val="single" w:color="auto" w:sz="6" w:space="0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ascii="楷体" w:hAnsi="楷体" w:eastAsia="楷体" w:cs="楷体"/>
                <w:sz w:val="20"/>
                <w:szCs w:val="20"/>
                <w:bdr w:val="none" w:color="auto" w:sz="0" w:space="0"/>
              </w:rPr>
              <w:t>（本列数据的勾稽关系为：第一项加第二项之和，等于第三项加第四项之和）</w:t>
            </w:r>
          </w:p>
        </w:tc>
        <w:tc>
          <w:tcPr>
            <w:tcW w:w="4816" w:type="dxa"/>
            <w:gridSpan w:val="7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申请人情况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29" w:type="dxa"/>
            <w:gridSpan w:val="3"/>
            <w:vMerge w:val="continue"/>
            <w:tcBorders>
              <w:top w:val="single" w:color="auto" w:sz="6" w:space="0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8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自然人</w:t>
            </w:r>
          </w:p>
        </w:tc>
        <w:tc>
          <w:tcPr>
            <w:tcW w:w="3440" w:type="dxa"/>
            <w:gridSpan w:val="5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法人或其他组织</w:t>
            </w:r>
          </w:p>
        </w:tc>
        <w:tc>
          <w:tcPr>
            <w:tcW w:w="688" w:type="dxa"/>
            <w:vMerge w:val="restart"/>
            <w:tcBorders>
              <w:top w:val="single" w:color="auto" w:sz="6" w:space="0"/>
              <w:left w:val="nil"/>
              <w:bottom w:val="outset" w:color="auto" w:sz="6" w:space="0"/>
              <w:right w:val="single" w:color="auto" w:sz="6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3" w:hRule="atLeast"/>
          <w:jc w:val="center"/>
        </w:trPr>
        <w:tc>
          <w:tcPr>
            <w:tcW w:w="4929" w:type="dxa"/>
            <w:gridSpan w:val="3"/>
            <w:vMerge w:val="continue"/>
            <w:tcBorders>
              <w:top w:val="single" w:color="auto" w:sz="6" w:space="0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8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商业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企业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科研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机构</w:t>
            </w:r>
          </w:p>
        </w:tc>
        <w:tc>
          <w:tcPr>
            <w:tcW w:w="688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社会公益组织</w:t>
            </w:r>
          </w:p>
        </w:tc>
        <w:tc>
          <w:tcPr>
            <w:tcW w:w="688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法律服务机构</w:t>
            </w:r>
          </w:p>
        </w:tc>
        <w:tc>
          <w:tcPr>
            <w:tcW w:w="688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其他</w:t>
            </w:r>
          </w:p>
        </w:tc>
        <w:tc>
          <w:tcPr>
            <w:tcW w:w="688" w:type="dxa"/>
            <w:vMerge w:val="continue"/>
            <w:tcBorders>
              <w:top w:val="single" w:color="auto" w:sz="6" w:space="0"/>
              <w:left w:val="nil"/>
              <w:bottom w:val="outset" w:color="auto" w:sz="6" w:space="0"/>
              <w:right w:val="single" w:color="auto" w:sz="6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29" w:type="dxa"/>
            <w:gridSpan w:val="3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一、本年新收政府信息公开申请数量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</w:rPr>
              <w:t>3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</w:rPr>
              <w:t>3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29" w:type="dxa"/>
            <w:gridSpan w:val="3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二、上年结转政府信息公开申请数量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restart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三、本年度办理结果</w:t>
            </w:r>
          </w:p>
        </w:tc>
        <w:tc>
          <w:tcPr>
            <w:tcW w:w="4162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（一）予以公开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</w:rPr>
              <w:t>2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</w:rPr>
              <w:t>0</w:t>
            </w:r>
          </w:p>
        </w:tc>
        <w:tc>
          <w:tcPr>
            <w:tcW w:w="688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</w:rPr>
              <w:t>2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2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（二）部分公开</w:t>
            </w:r>
            <w:r>
              <w:rPr>
                <w:rFonts w:hint="eastAsia" w:ascii="楷体" w:hAnsi="楷体" w:eastAsia="楷体" w:cs="楷体"/>
                <w:sz w:val="20"/>
                <w:szCs w:val="20"/>
                <w:bdr w:val="none" w:color="auto" w:sz="0" w:space="0"/>
              </w:rPr>
              <w:t>（区分处理的，只计这一情形，不计其他情形）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3" w:type="dxa"/>
            <w:vMerge w:val="restart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（三）不予公开</w:t>
            </w:r>
          </w:p>
        </w:tc>
        <w:tc>
          <w:tcPr>
            <w:tcW w:w="321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</w:rPr>
              <w:t>1.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属于国家秘密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</w:rPr>
              <w:t>0</w:t>
            </w:r>
          </w:p>
        </w:tc>
        <w:tc>
          <w:tcPr>
            <w:tcW w:w="688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1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</w:rPr>
              <w:t>2.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其他法律行政法规禁止公开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1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</w:rPr>
              <w:t>3.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危及</w:t>
            </w:r>
            <w:r>
              <w:rPr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</w:rPr>
              <w:t>“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三安全一稳定</w:t>
            </w:r>
            <w:r>
              <w:rPr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</w:rPr>
              <w:t>”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1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</w:rPr>
              <w:t>4.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保护第三方合法权益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1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</w:rPr>
              <w:t>5.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属于三类内部事务信息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1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</w:rPr>
              <w:t>6.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属于四类过程性信息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1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</w:rPr>
              <w:t>7.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属于行政执法案卷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1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</w:rPr>
              <w:t>8.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属于行政查询事项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3" w:type="dxa"/>
            <w:vMerge w:val="restart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（四）无法提供</w:t>
            </w:r>
          </w:p>
        </w:tc>
        <w:tc>
          <w:tcPr>
            <w:tcW w:w="321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</w:rPr>
              <w:t>1.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本机关不掌握相关政府信息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1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</w:rPr>
              <w:t>2.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没有现成信息需要另行制作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1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</w:rPr>
              <w:t>3.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补正后申请内容仍不明确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3" w:type="dxa"/>
            <w:vMerge w:val="restart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（五）不予处理</w:t>
            </w:r>
          </w:p>
        </w:tc>
        <w:tc>
          <w:tcPr>
            <w:tcW w:w="321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</w:rPr>
              <w:t>1.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信访举报投诉类申请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1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</w:rPr>
              <w:t>2.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重复申请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1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</w:rPr>
              <w:t>3.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要求提供公开出版物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1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</w:rPr>
              <w:t>4.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无正当理由大量反复申请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19" w:type="dxa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</w:rPr>
              <w:t>5.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要求行政机关确认或重新出具已获取信息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3" w:hRule="atLeast"/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3" w:type="dxa"/>
            <w:vMerge w:val="restart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（六）其他处理</w:t>
            </w:r>
          </w:p>
        </w:tc>
        <w:tc>
          <w:tcPr>
            <w:tcW w:w="321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</w:rPr>
              <w:t>1.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申请人无正当理由逾期不补正、行政机关不再处理其政府信息公开申请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1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</w:rPr>
              <w:t>2.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申请人逾期未按收费通知要求缴纳费用、行政机关不再处理其政府信息公开申请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1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</w:rPr>
              <w:t>3.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其他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2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（七）总计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</w:rPr>
              <w:t>2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</w:rPr>
              <w:t>2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29" w:type="dxa"/>
            <w:gridSpan w:val="3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四、结转下年度继续办理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</w:rPr>
              <w:t>1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</w:rPr>
              <w:t>1</w:t>
            </w:r>
          </w:p>
        </w:tc>
      </w:tr>
    </w:tbl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hint="default" w:ascii="Calibri" w:hAnsi="Calibri" w:cs="Calibri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Calibri" w:hAnsi="Calibri" w:cs="Calibri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 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90" w:lineRule="atLeast"/>
        <w:ind w:left="0" w:right="0" w:firstLine="640"/>
        <w:jc w:val="both"/>
        <w:rPr>
          <w:rFonts w:hint="default" w:ascii="Calibri" w:hAnsi="Calibri" w:cs="Calibri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四、政府信息公开行政复议、行政诉讼情况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hint="default" w:ascii="Calibri" w:hAnsi="Calibri" w:cs="Calibri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Calibri" w:hAnsi="Calibri" w:cs="Calibri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 </w:t>
      </w:r>
    </w:p>
    <w:tbl>
      <w:tblPr>
        <w:tblW w:w="9743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49"/>
        <w:gridCol w:w="649"/>
        <w:gridCol w:w="649"/>
        <w:gridCol w:w="649"/>
        <w:gridCol w:w="649"/>
        <w:gridCol w:w="649"/>
        <w:gridCol w:w="649"/>
        <w:gridCol w:w="650"/>
        <w:gridCol w:w="650"/>
        <w:gridCol w:w="650"/>
        <w:gridCol w:w="650"/>
        <w:gridCol w:w="650"/>
        <w:gridCol w:w="650"/>
        <w:gridCol w:w="650"/>
        <w:gridCol w:w="650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245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行政复议</w:t>
            </w:r>
          </w:p>
        </w:tc>
        <w:tc>
          <w:tcPr>
            <w:tcW w:w="6498" w:type="dxa"/>
            <w:gridSpan w:val="10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行政诉讼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49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结果维持</w:t>
            </w:r>
          </w:p>
        </w:tc>
        <w:tc>
          <w:tcPr>
            <w:tcW w:w="649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结果</w:t>
            </w:r>
            <w:r>
              <w:rPr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纠正</w:t>
            </w:r>
          </w:p>
        </w:tc>
        <w:tc>
          <w:tcPr>
            <w:tcW w:w="649" w:type="dxa"/>
            <w:vMerge w:val="restar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其他</w:t>
            </w:r>
            <w:r>
              <w:rPr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结果</w:t>
            </w:r>
          </w:p>
        </w:tc>
        <w:tc>
          <w:tcPr>
            <w:tcW w:w="649" w:type="dxa"/>
            <w:vMerge w:val="restar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尚未</w:t>
            </w:r>
            <w:r>
              <w:rPr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审结</w:t>
            </w:r>
          </w:p>
        </w:tc>
        <w:tc>
          <w:tcPr>
            <w:tcW w:w="649" w:type="dxa"/>
            <w:vMerge w:val="restar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总计</w:t>
            </w:r>
          </w:p>
        </w:tc>
        <w:tc>
          <w:tcPr>
            <w:tcW w:w="3248" w:type="dxa"/>
            <w:gridSpan w:val="5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未经复议直接起诉</w:t>
            </w:r>
          </w:p>
        </w:tc>
        <w:tc>
          <w:tcPr>
            <w:tcW w:w="3250" w:type="dxa"/>
            <w:gridSpan w:val="5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复议后起诉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49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9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9" w:type="dxa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9" w:type="dxa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9" w:type="dxa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结果</w:t>
            </w:r>
            <w:r>
              <w:rPr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维持</w:t>
            </w:r>
          </w:p>
        </w:tc>
        <w:tc>
          <w:tcPr>
            <w:tcW w:w="64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结果</w:t>
            </w:r>
            <w:r>
              <w:rPr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纠正</w:t>
            </w:r>
          </w:p>
        </w:tc>
        <w:tc>
          <w:tcPr>
            <w:tcW w:w="65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其他</w:t>
            </w:r>
            <w:r>
              <w:rPr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结果</w:t>
            </w:r>
          </w:p>
        </w:tc>
        <w:tc>
          <w:tcPr>
            <w:tcW w:w="65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尚未</w:t>
            </w:r>
            <w:r>
              <w:rPr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审结</w:t>
            </w:r>
          </w:p>
        </w:tc>
        <w:tc>
          <w:tcPr>
            <w:tcW w:w="65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总计</w:t>
            </w:r>
          </w:p>
        </w:tc>
        <w:tc>
          <w:tcPr>
            <w:tcW w:w="65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结果</w:t>
            </w:r>
            <w:r>
              <w:rPr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维持</w:t>
            </w:r>
          </w:p>
        </w:tc>
        <w:tc>
          <w:tcPr>
            <w:tcW w:w="65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结果</w:t>
            </w:r>
            <w:r>
              <w:rPr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纠正</w:t>
            </w:r>
          </w:p>
        </w:tc>
        <w:tc>
          <w:tcPr>
            <w:tcW w:w="65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其他</w:t>
            </w:r>
            <w:r>
              <w:rPr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结果</w:t>
            </w:r>
          </w:p>
        </w:tc>
        <w:tc>
          <w:tcPr>
            <w:tcW w:w="65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尚未</w:t>
            </w:r>
            <w:r>
              <w:rPr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审结</w:t>
            </w:r>
          </w:p>
        </w:tc>
        <w:tc>
          <w:tcPr>
            <w:tcW w:w="65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2" w:hRule="atLeast"/>
          <w:jc w:val="center"/>
        </w:trPr>
        <w:tc>
          <w:tcPr>
            <w:tcW w:w="649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</w:rPr>
              <w:t>0</w:t>
            </w:r>
          </w:p>
        </w:tc>
        <w:tc>
          <w:tcPr>
            <w:tcW w:w="64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</w:rPr>
              <w:t>0</w:t>
            </w:r>
          </w:p>
        </w:tc>
        <w:tc>
          <w:tcPr>
            <w:tcW w:w="64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</w:rPr>
              <w:t>0</w:t>
            </w:r>
          </w:p>
        </w:tc>
        <w:tc>
          <w:tcPr>
            <w:tcW w:w="64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</w:rPr>
              <w:t>0</w:t>
            </w:r>
          </w:p>
        </w:tc>
        <w:tc>
          <w:tcPr>
            <w:tcW w:w="64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</w:rPr>
              <w:t>0</w:t>
            </w:r>
          </w:p>
        </w:tc>
        <w:tc>
          <w:tcPr>
            <w:tcW w:w="64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</w:rPr>
              <w:t>0</w:t>
            </w:r>
          </w:p>
        </w:tc>
        <w:tc>
          <w:tcPr>
            <w:tcW w:w="64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</w:rPr>
              <w:t>0</w:t>
            </w:r>
          </w:p>
        </w:tc>
        <w:tc>
          <w:tcPr>
            <w:tcW w:w="6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</w:rPr>
              <w:t>0</w:t>
            </w:r>
          </w:p>
        </w:tc>
        <w:tc>
          <w:tcPr>
            <w:tcW w:w="6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</w:rPr>
              <w:t>0</w:t>
            </w:r>
          </w:p>
        </w:tc>
        <w:tc>
          <w:tcPr>
            <w:tcW w:w="6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</w:rPr>
              <w:t>0</w:t>
            </w:r>
          </w:p>
        </w:tc>
        <w:tc>
          <w:tcPr>
            <w:tcW w:w="6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</w:rPr>
              <w:t>0</w:t>
            </w:r>
          </w:p>
        </w:tc>
        <w:tc>
          <w:tcPr>
            <w:tcW w:w="6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</w:rPr>
              <w:t>0</w:t>
            </w:r>
          </w:p>
        </w:tc>
        <w:tc>
          <w:tcPr>
            <w:tcW w:w="6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</w:rPr>
              <w:t>0</w:t>
            </w:r>
          </w:p>
        </w:tc>
        <w:tc>
          <w:tcPr>
            <w:tcW w:w="6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</w:rPr>
              <w:t>0</w:t>
            </w:r>
          </w:p>
        </w:tc>
        <w:tc>
          <w:tcPr>
            <w:tcW w:w="6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bdr w:val="none" w:color="auto" w:sz="0" w:space="0"/>
              </w:rPr>
              <w:t>0</w:t>
            </w:r>
          </w:p>
        </w:tc>
      </w:tr>
    </w:tbl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default" w:ascii="Calibri" w:hAnsi="Calibri" w:cs="Calibri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Calibri" w:hAnsi="Calibri" w:cs="Calibri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 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90" w:lineRule="atLeast"/>
        <w:ind w:left="0" w:right="0" w:firstLine="640"/>
        <w:jc w:val="both"/>
        <w:rPr>
          <w:rFonts w:hint="default" w:ascii="Calibri" w:hAnsi="Calibri" w:cs="Calibri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五、存在的主要问题及改进情况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90" w:lineRule="atLeast"/>
        <w:ind w:left="0" w:right="0" w:firstLine="643"/>
        <w:jc w:val="both"/>
        <w:rPr>
          <w:rFonts w:hint="default" w:ascii="Calibri" w:hAnsi="Calibri" w:cs="Calibri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楷体_GB2312" w:hAnsi="Times New Roman" w:eastAsia="楷体_GB2312" w:cs="楷体_GB2312"/>
          <w:b/>
          <w:bCs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（一）上年度存在的问题及整改情况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90" w:lineRule="atLeast"/>
        <w:ind w:left="0" w:right="0" w:firstLine="640"/>
        <w:jc w:val="both"/>
        <w:rPr>
          <w:rFonts w:hint="default" w:ascii="Calibri" w:hAnsi="Calibri" w:cs="Calibri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针对政策解读质量</w:t>
      </w:r>
      <w:r>
        <w:rPr>
          <w:rFonts w:hint="eastAsia" w:ascii="仿宋_GB2312" w:hAnsi="Calibri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有待进一步提高的</w:t>
      </w: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问题，</w:t>
      </w:r>
      <w:r>
        <w:rPr>
          <w:rFonts w:hint="eastAsia" w:ascii="仿宋_GB2312" w:hAnsi="Calibri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一是在严格把关上下功夫。</w:t>
      </w: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要求科室严格按照政策解读七要素进行解读，</w:t>
      </w:r>
      <w:r>
        <w:rPr>
          <w:rFonts w:hint="eastAsia" w:ascii="仿宋_GB2312" w:hAnsi="Calibri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对不符合解读要求的，予以退回要求重新解读，督促各科室进一步提高文件公开质量。二是在丰富形式上下功夫。积极运用视频、简明问答、图表图解等多元化形式解读政策，切实增强解读效果。</w:t>
      </w: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《六安市贯彻落实省政府支持技工强省建设若干政策责任清单》视频解读被选为优秀政策解读案例。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90" w:lineRule="atLeast"/>
        <w:ind w:left="0" w:right="0" w:firstLine="640"/>
        <w:jc w:val="both"/>
        <w:rPr>
          <w:rFonts w:hint="default" w:ascii="Calibri" w:hAnsi="Calibri" w:cs="Calibri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仿宋_GB2312" w:hAnsi="Calibri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针对</w:t>
      </w:r>
      <w:r>
        <w:rPr>
          <w:rFonts w:hint="eastAsia" w:ascii="仿宋_GB2312" w:hAnsi="Times New Roman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规范性文件意见征集不及时</w:t>
      </w:r>
      <w:r>
        <w:rPr>
          <w:rFonts w:hint="eastAsia" w:ascii="仿宋_GB2312" w:hAnsi="Calibri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的问题，</w:t>
      </w: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我局</w:t>
      </w:r>
      <w:r>
        <w:rPr>
          <w:rFonts w:hint="eastAsia" w:ascii="仿宋_GB2312" w:hAnsi="Calibri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加强督促，要求各科室</w:t>
      </w:r>
      <w:r>
        <w:rPr>
          <w:rFonts w:hint="eastAsia" w:ascii="仿宋_GB2312" w:hAnsi="Times New Roman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起草规范性文件时要注意流程完备、步骤合理，</w:t>
      </w:r>
      <w:r>
        <w:rPr>
          <w:rFonts w:hint="eastAsia" w:ascii="仿宋_GB2312" w:hAnsi="Calibri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注重</w:t>
      </w:r>
      <w:r>
        <w:rPr>
          <w:rFonts w:hint="eastAsia" w:ascii="仿宋_GB2312" w:hAnsi="Times New Roman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意见征集</w:t>
      </w:r>
      <w:r>
        <w:rPr>
          <w:rFonts w:hint="eastAsia" w:ascii="仿宋_GB2312" w:hAnsi="Calibri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的时效性，</w:t>
      </w:r>
      <w:r>
        <w:rPr>
          <w:rFonts w:hint="eastAsia" w:ascii="仿宋_GB2312" w:hAnsi="Times New Roman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在规范性文件起草时</w:t>
      </w:r>
      <w:r>
        <w:rPr>
          <w:rFonts w:hint="eastAsia" w:ascii="仿宋_GB2312" w:hAnsi="Calibri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，</w:t>
      </w:r>
      <w:r>
        <w:rPr>
          <w:rFonts w:hint="eastAsia" w:ascii="仿宋_GB2312" w:hAnsi="Times New Roman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要同步开展文件意见征集工作。今年我局的规范性文件按时开展意见征集。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90" w:lineRule="atLeast"/>
        <w:ind w:left="0" w:right="0" w:firstLine="643"/>
        <w:jc w:val="both"/>
        <w:rPr>
          <w:rFonts w:hint="default" w:ascii="Calibri" w:hAnsi="Calibri" w:cs="Calibri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楷体_GB2312" w:hAnsi="Times New Roman" w:eastAsia="楷体_GB2312" w:cs="楷体_GB2312"/>
          <w:b/>
          <w:bCs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（二）本年度存在的问题及改进打算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90" w:lineRule="atLeast"/>
        <w:ind w:left="0" w:right="0" w:firstLine="640"/>
        <w:jc w:val="both"/>
        <w:rPr>
          <w:rFonts w:hint="default" w:ascii="Calibri" w:hAnsi="Calibri" w:cs="Calibri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仿宋_GB2312" w:hAnsi="Calibri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针对</w:t>
      </w: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规范性文件定义不明确，意见征集方式和渠道不够多元化，公众参与度较低</w:t>
      </w:r>
      <w:r>
        <w:rPr>
          <w:rFonts w:hint="eastAsia" w:ascii="仿宋_GB2312" w:hAnsi="Calibri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等问题，一是</w:t>
      </w: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发布我局</w:t>
      </w:r>
      <w:r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2024</w:t>
      </w: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年政务公开工作责任清单，将政务公开重点工作责任</w:t>
      </w:r>
      <w:r>
        <w:rPr>
          <w:rFonts w:hint="eastAsia" w:ascii="仿宋_GB2312" w:hAnsi="Calibri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明确</w:t>
      </w: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到各科室。</w:t>
      </w:r>
      <w:r>
        <w:rPr>
          <w:rFonts w:hint="eastAsia" w:ascii="仿宋_GB2312" w:hAnsi="Calibri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二是举办</w:t>
      </w: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政务公开工作培训会，讲解规范性文件的事项，明确规范性文件定义，提高工作人员</w:t>
      </w:r>
      <w:r>
        <w:rPr>
          <w:rFonts w:hint="eastAsia" w:ascii="仿宋_GB2312" w:hAnsi="Calibri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业务水平</w:t>
      </w: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。</w:t>
      </w:r>
      <w:r>
        <w:rPr>
          <w:rFonts w:hint="eastAsia" w:ascii="仿宋_GB2312" w:hAnsi="Calibri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三是</w:t>
      </w: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增加意见征集的征集渠道，发挥</w:t>
      </w:r>
      <w:r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“</w:t>
      </w: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两微一端</w:t>
      </w:r>
      <w:r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”</w:t>
      </w: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的信息推送支持功能，拓宽政务公开的展现形式。确保</w:t>
      </w:r>
      <w:r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2024</w:t>
      </w: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年在规范性文件方面意见征集</w:t>
      </w:r>
      <w:r>
        <w:rPr>
          <w:rFonts w:hint="eastAsia" w:ascii="仿宋_GB2312" w:hAnsi="Calibri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到位</w:t>
      </w: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90" w:lineRule="atLeast"/>
        <w:ind w:left="0" w:right="0" w:firstLine="640"/>
        <w:jc w:val="both"/>
        <w:rPr>
          <w:rFonts w:hint="default" w:ascii="Calibri" w:hAnsi="Calibri" w:cs="Calibri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六、其他需要报告的事项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90" w:lineRule="atLeast"/>
        <w:ind w:left="0" w:right="0" w:firstLine="640"/>
        <w:jc w:val="both"/>
        <w:rPr>
          <w:rFonts w:hint="default" w:ascii="Calibri" w:hAnsi="Calibri" w:cs="Calibri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仿宋_GB2312" w:hAnsi="Calibri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通过“</w:t>
      </w: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六安就业</w:t>
      </w:r>
      <w:r>
        <w:rPr>
          <w:rFonts w:hint="eastAsia" w:ascii="仿宋_GB2312" w:hAnsi="Calibri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”</w:t>
      </w: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抖音号</w:t>
      </w:r>
      <w:r>
        <w:rPr>
          <w:rFonts w:hint="eastAsia" w:ascii="仿宋_GB2312" w:hAnsi="Calibri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，</w:t>
      </w: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创新人社政策宣传新形式，打造抖音直播服务平台，推出</w:t>
      </w:r>
      <w:r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“</w:t>
      </w: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直播带岗、政策解读</w:t>
      </w:r>
      <w:r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”</w:t>
      </w: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系列活动，着重推荐诚信规范、薪资待遇好的企业，为求职者提供丰富岗位。主播与企业人事经理点对点交流，线上介绍企业概况、岗位待遇、就业环境等。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90" w:lineRule="atLeast"/>
        <w:ind w:left="0" w:right="0" w:firstLine="640"/>
        <w:jc w:val="both"/>
        <w:rPr>
          <w:rFonts w:hint="default" w:ascii="Calibri" w:hAnsi="Calibri" w:cs="Calibri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仿宋_GB2312" w:hAnsi="Calibri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开设</w:t>
      </w: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人社政策</w:t>
      </w:r>
      <w:r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“</w:t>
      </w: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云</w:t>
      </w:r>
      <w:r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”</w:t>
      </w: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解读</w:t>
      </w:r>
      <w:r>
        <w:rPr>
          <w:rFonts w:hint="eastAsia" w:ascii="仿宋_GB2312" w:hAnsi="Calibri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栏目，</w:t>
      </w: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围绕国家、省、市人社就业创业、人事人才、社会保险的政策和操作流程，全方位宣传解读，对就业支持政策、企业职工培训补贴、工伤保险等热点政策进行深入讲解</w:t>
      </w:r>
      <w:r>
        <w:rPr>
          <w:rFonts w:hint="eastAsia" w:ascii="仿宋_GB2312" w:hAnsi="Calibri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，</w:t>
      </w: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有效促进人社各项政策落实、服务落地。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90" w:lineRule="atLeast"/>
        <w:ind w:left="0" w:right="0" w:firstLine="640"/>
        <w:jc w:val="both"/>
        <w:rPr>
          <w:rFonts w:hint="default" w:ascii="Calibri" w:hAnsi="Calibri" w:cs="Calibri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按照《国务院办公厅关于印发〈政府信息公开信息处理费管理办法〉的通知》（国办函〔</w:t>
      </w:r>
      <w:r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2020</w:t>
      </w: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〕</w:t>
      </w:r>
      <w:r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109</w:t>
      </w: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号）规定的按件、按量收费标准，本年度没有产生信息公开处理费。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90" w:lineRule="atLeast"/>
        <w:ind w:left="0" w:right="0" w:firstLine="640"/>
        <w:jc w:val="both"/>
        <w:rPr>
          <w:rFonts w:hint="default" w:ascii="Calibri" w:hAnsi="Calibri" w:cs="Calibri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Calibri" w:hAnsi="Calibri" w:cs="Calibri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 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华文隶书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hlMTVjZmNkYzM5ZTVlNmQ5NGU5YjQ3M2IxODkwZDkifQ=="/>
  </w:docVars>
  <w:rsids>
    <w:rsidRoot w:val="3B2554BB"/>
    <w:rsid w:val="3B255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2024-02-21T01:56:00Z</dcterms:created>
  <dc:creator>胡晓胖</dc:creator>
  <cp:lastModifiedBy>胡晓胖</cp:lastModifiedBy>
  <dcterms:modified xsi:type="dcterms:W3CDTF">2024-02-21T02:03:01Z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08DE0D6F8D2B40C282C781413443D272_11</vt:lpwstr>
  </property>
</Properties>
</file>