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before="312" w:beforeLines="100" w:line="560" w:lineRule="exact"/>
        <w:jc w:val="center"/>
        <w:rPr>
          <w:rFonts w:ascii="方正小标宋简体" w:hAnsi="黑体" w:eastAsia="方正小标宋简体"/>
          <w:bCs/>
          <w:sz w:val="44"/>
          <w:szCs w:val="44"/>
        </w:rPr>
      </w:pPr>
    </w:p>
    <w:p>
      <w:pPr>
        <w:tabs>
          <w:tab w:val="left" w:pos="8280"/>
        </w:tabs>
        <w:spacing w:before="312" w:beforeLines="100" w:line="560" w:lineRule="exact"/>
        <w:jc w:val="center"/>
        <w:rPr>
          <w:rFonts w:ascii="方正小标宋简体" w:hAnsi="黑体" w:eastAsia="方正小标宋简体"/>
          <w:bCs/>
          <w:sz w:val="44"/>
          <w:szCs w:val="44"/>
        </w:rPr>
      </w:pPr>
    </w:p>
    <w:p>
      <w:pPr>
        <w:tabs>
          <w:tab w:val="left" w:pos="8280"/>
        </w:tabs>
        <w:spacing w:before="312" w:beforeLines="100"/>
        <w:jc w:val="center"/>
        <w:rPr>
          <w:rFonts w:hint="eastAsia" w:ascii="方正小标宋简体" w:hAnsi="黑体" w:eastAsia="方正小标宋简体"/>
          <w:bCs/>
          <w:sz w:val="60"/>
          <w:szCs w:val="60"/>
          <w:lang w:val="en-US" w:eastAsia="zh-CN"/>
        </w:rPr>
      </w:pPr>
      <w:r>
        <w:rPr>
          <w:rFonts w:hint="eastAsia" w:ascii="方正小标宋简体" w:hAnsi="黑体" w:eastAsia="方正小标宋简体"/>
          <w:bCs/>
          <w:sz w:val="60"/>
          <w:szCs w:val="60"/>
        </w:rPr>
        <w:t>六安市</w:t>
      </w:r>
      <w:r>
        <w:rPr>
          <w:rFonts w:hint="eastAsia" w:ascii="方正小标宋简体" w:hAnsi="黑体" w:eastAsia="方正小标宋简体"/>
          <w:bCs/>
          <w:sz w:val="60"/>
          <w:szCs w:val="60"/>
          <w:lang w:val="en-US" w:eastAsia="zh-CN"/>
        </w:rPr>
        <w:t>人力资源和社会保障局</w:t>
      </w:r>
    </w:p>
    <w:p>
      <w:pPr>
        <w:tabs>
          <w:tab w:val="left" w:pos="8280"/>
        </w:tabs>
        <w:spacing w:before="312" w:beforeLines="100"/>
        <w:jc w:val="center"/>
        <w:rPr>
          <w:rFonts w:ascii="方正小标宋简体" w:hAnsi="黑体" w:eastAsia="方正小标宋简体"/>
          <w:bCs/>
          <w:sz w:val="60"/>
          <w:szCs w:val="60"/>
        </w:rPr>
      </w:pPr>
      <w:r>
        <w:rPr>
          <w:rFonts w:hint="eastAsia" w:ascii="方正小标宋简体" w:hAnsi="黑体" w:eastAsia="方正小标宋简体"/>
          <w:bCs/>
          <w:sz w:val="60"/>
          <w:szCs w:val="60"/>
          <w:lang w:val="en-US" w:eastAsia="zh-CN"/>
        </w:rPr>
        <w:t>会议系统采购</w:t>
      </w:r>
      <w:r>
        <w:rPr>
          <w:rFonts w:hint="eastAsia" w:ascii="方正小标宋简体" w:hAnsi="黑体" w:eastAsia="方正小标宋简体"/>
          <w:bCs/>
          <w:sz w:val="60"/>
          <w:szCs w:val="60"/>
        </w:rPr>
        <w:t>需求书</w:t>
      </w:r>
    </w:p>
    <w:p>
      <w:pPr>
        <w:tabs>
          <w:tab w:val="left" w:pos="8280"/>
        </w:tabs>
        <w:spacing w:before="312" w:beforeLines="100" w:line="640" w:lineRule="exact"/>
        <w:jc w:val="center"/>
        <w:rPr>
          <w:rFonts w:ascii="方正小标宋简体" w:hAnsi="黑体" w:eastAsia="方正小标宋简体"/>
          <w:bCs/>
          <w:sz w:val="44"/>
          <w:szCs w:val="44"/>
        </w:rPr>
      </w:pPr>
    </w:p>
    <w:p>
      <w:pPr>
        <w:tabs>
          <w:tab w:val="left" w:pos="8280"/>
        </w:tabs>
        <w:spacing w:before="312" w:beforeLines="100" w:line="640" w:lineRule="exact"/>
        <w:jc w:val="center"/>
        <w:rPr>
          <w:rFonts w:ascii="方正小标宋简体" w:hAnsi="黑体" w:eastAsia="方正小标宋简体"/>
          <w:bCs/>
          <w:sz w:val="44"/>
          <w:szCs w:val="44"/>
        </w:rPr>
      </w:pPr>
    </w:p>
    <w:p>
      <w:pPr>
        <w:tabs>
          <w:tab w:val="left" w:pos="8280"/>
        </w:tabs>
        <w:spacing w:before="312" w:beforeLines="100" w:line="640" w:lineRule="exact"/>
        <w:jc w:val="center"/>
        <w:rPr>
          <w:rFonts w:ascii="方正小标宋简体" w:hAnsi="黑体" w:eastAsia="方正小标宋简体"/>
          <w:bCs/>
          <w:sz w:val="44"/>
          <w:szCs w:val="44"/>
        </w:rPr>
      </w:pPr>
    </w:p>
    <w:p>
      <w:pPr>
        <w:tabs>
          <w:tab w:val="left" w:pos="8280"/>
        </w:tabs>
        <w:spacing w:before="312" w:beforeLines="100" w:line="640" w:lineRule="exact"/>
        <w:jc w:val="center"/>
        <w:rPr>
          <w:rFonts w:ascii="方正小标宋简体" w:hAnsi="黑体" w:eastAsia="方正小标宋简体"/>
          <w:bCs/>
          <w:sz w:val="44"/>
          <w:szCs w:val="44"/>
        </w:rPr>
      </w:pPr>
    </w:p>
    <w:p>
      <w:pPr>
        <w:tabs>
          <w:tab w:val="left" w:pos="8280"/>
        </w:tabs>
        <w:spacing w:before="312" w:beforeLines="100" w:line="640" w:lineRule="exact"/>
        <w:jc w:val="center"/>
        <w:rPr>
          <w:rFonts w:ascii="方正小标宋简体" w:hAnsi="黑体" w:eastAsia="方正小标宋简体"/>
          <w:bCs/>
          <w:sz w:val="44"/>
          <w:szCs w:val="44"/>
        </w:rPr>
      </w:pPr>
    </w:p>
    <w:p>
      <w:pPr>
        <w:tabs>
          <w:tab w:val="left" w:pos="8280"/>
        </w:tabs>
        <w:spacing w:before="312" w:beforeLines="100" w:line="640" w:lineRule="exact"/>
        <w:jc w:val="center"/>
        <w:rPr>
          <w:rFonts w:ascii="方正小标宋简体" w:hAnsi="黑体" w:eastAsia="方正小标宋简体"/>
          <w:bCs/>
          <w:sz w:val="44"/>
          <w:szCs w:val="44"/>
        </w:rPr>
      </w:pPr>
    </w:p>
    <w:p>
      <w:pPr>
        <w:keepNext w:val="0"/>
        <w:keepLines w:val="0"/>
        <w:pageBreakBefore w:val="0"/>
        <w:widowControl w:val="0"/>
        <w:tabs>
          <w:tab w:val="left" w:pos="8280"/>
        </w:tabs>
        <w:kinsoku/>
        <w:wordWrap/>
        <w:overflowPunct/>
        <w:topLinePunct w:val="0"/>
        <w:autoSpaceDE/>
        <w:autoSpaceDN/>
        <w:bidi w:val="0"/>
        <w:adjustRightInd w:val="0"/>
        <w:snapToGrid w:val="0"/>
        <w:spacing w:before="312" w:beforeLines="100" w:line="640" w:lineRule="exact"/>
        <w:jc w:val="center"/>
        <w:textAlignment w:val="auto"/>
        <w:rPr>
          <w:rFonts w:hint="eastAsia" w:ascii="仿宋_GB2312" w:hAnsi="仿宋_GB2312" w:eastAsia="仿宋_GB2312" w:cs="仿宋_GB2312"/>
          <w:bCs/>
          <w:w w:val="115"/>
          <w:sz w:val="32"/>
          <w:szCs w:val="32"/>
        </w:rPr>
      </w:pPr>
      <w:r>
        <w:rPr>
          <w:rFonts w:hint="eastAsia" w:ascii="仿宋_GB2312" w:hAnsi="仿宋_GB2312" w:eastAsia="仿宋_GB2312" w:cs="仿宋_GB2312"/>
          <w:bCs/>
          <w:w w:val="115"/>
          <w:sz w:val="32"/>
          <w:szCs w:val="32"/>
        </w:rPr>
        <w:t>六安市人力资源和社会保障局</w:t>
      </w:r>
    </w:p>
    <w:p>
      <w:pPr>
        <w:keepNext w:val="0"/>
        <w:keepLines w:val="0"/>
        <w:pageBreakBefore w:val="0"/>
        <w:widowControl w:val="0"/>
        <w:tabs>
          <w:tab w:val="left" w:pos="8280"/>
        </w:tabs>
        <w:kinsoku/>
        <w:wordWrap/>
        <w:overflowPunct/>
        <w:topLinePunct w:val="0"/>
        <w:autoSpaceDE/>
        <w:autoSpaceDN/>
        <w:bidi w:val="0"/>
        <w:adjustRightInd w:val="0"/>
        <w:snapToGrid w:val="0"/>
        <w:spacing w:line="640" w:lineRule="exact"/>
        <w:jc w:val="center"/>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日</w:t>
      </w:r>
    </w:p>
    <w:p>
      <w:pPr>
        <w:keepNext w:val="0"/>
        <w:keepLines w:val="0"/>
        <w:pageBreakBefore w:val="0"/>
        <w:widowControl w:val="0"/>
        <w:tabs>
          <w:tab w:val="left" w:pos="8280"/>
        </w:tabs>
        <w:kinsoku/>
        <w:wordWrap/>
        <w:overflowPunct/>
        <w:topLinePunct w:val="0"/>
        <w:autoSpaceDE/>
        <w:autoSpaceDN/>
        <w:bidi w:val="0"/>
        <w:adjustRightInd w:val="0"/>
        <w:snapToGrid w:val="0"/>
        <w:spacing w:line="640" w:lineRule="exact"/>
        <w:jc w:val="center"/>
        <w:textAlignment w:val="auto"/>
        <w:rPr>
          <w:rFonts w:hint="eastAsia" w:ascii="仿宋_GB2312" w:hAnsi="仿宋_GB2312" w:eastAsia="仿宋_GB2312" w:cs="仿宋_GB2312"/>
          <w:bCs/>
          <w:sz w:val="32"/>
          <w:szCs w:val="32"/>
        </w:rPr>
      </w:pPr>
    </w:p>
    <w:p>
      <w:pPr>
        <w:spacing w:before="156" w:beforeLines="50" w:after="156" w:afterLines="50" w:line="640" w:lineRule="exac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一、项目简介</w:t>
      </w:r>
    </w:p>
    <w:p>
      <w:pPr>
        <w:spacing w:line="640" w:lineRule="exact"/>
        <w:ind w:firstLine="640" w:firstLineChars="200"/>
        <w:rPr>
          <w:rFonts w:hint="default" w:ascii="仿宋_GB2312" w:hAnsi="华文仿宋" w:eastAsia="仿宋_GB2312" w:cs="Arial Unicode MS"/>
          <w:color w:val="000000"/>
          <w:sz w:val="32"/>
          <w:szCs w:val="32"/>
          <w:lang w:val="en-US" w:eastAsia="zh-CN"/>
        </w:rPr>
      </w:pPr>
      <w:r>
        <w:rPr>
          <w:rFonts w:hint="eastAsia" w:ascii="仿宋_GB2312" w:hAnsi="华文中宋" w:eastAsia="仿宋_GB2312"/>
          <w:sz w:val="32"/>
          <w:szCs w:val="32"/>
          <w:lang w:val="en-US" w:eastAsia="zh-CN"/>
        </w:rPr>
        <w:t>为</w:t>
      </w:r>
      <w:r>
        <w:rPr>
          <w:rFonts w:hint="eastAsia" w:ascii="仿宋_GB2312" w:hAnsi="仿宋" w:eastAsia="仿宋_GB2312"/>
          <w:sz w:val="32"/>
          <w:szCs w:val="32"/>
        </w:rPr>
        <w:t>满足</w:t>
      </w:r>
      <w:r>
        <w:rPr>
          <w:rFonts w:hint="eastAsia" w:ascii="仿宋_GB2312" w:hAnsi="华文仿宋" w:eastAsia="仿宋_GB2312"/>
          <w:sz w:val="32"/>
          <w:szCs w:val="32"/>
        </w:rPr>
        <w:t>市</w:t>
      </w:r>
      <w:r>
        <w:rPr>
          <w:rFonts w:hint="eastAsia" w:ascii="仿宋_GB2312" w:hAnsi="华文仿宋" w:eastAsia="仿宋_GB2312"/>
          <w:sz w:val="32"/>
          <w:szCs w:val="32"/>
          <w:lang w:val="en-US" w:eastAsia="zh-CN"/>
        </w:rPr>
        <w:t>人力资源和社会保障局</w:t>
      </w:r>
      <w:r>
        <w:rPr>
          <w:rFonts w:hint="eastAsia" w:ascii="仿宋_GB2312" w:hAnsi="仿宋" w:eastAsia="仿宋_GB2312"/>
          <w:sz w:val="32"/>
          <w:szCs w:val="32"/>
          <w:lang w:val="en-US" w:eastAsia="zh-CN"/>
        </w:rPr>
        <w:t>会议工作</w:t>
      </w:r>
      <w:r>
        <w:rPr>
          <w:rFonts w:hint="eastAsia" w:ascii="仿宋_GB2312" w:hAnsi="仿宋" w:eastAsia="仿宋_GB2312"/>
          <w:sz w:val="32"/>
          <w:szCs w:val="32"/>
        </w:rPr>
        <w:t>需求</w:t>
      </w:r>
      <w:r>
        <w:rPr>
          <w:rFonts w:hint="eastAsia" w:ascii="仿宋_GB2312" w:hAnsi="仿宋" w:eastAsia="仿宋_GB2312"/>
          <w:sz w:val="32"/>
          <w:szCs w:val="32"/>
          <w:lang w:eastAsia="zh-CN"/>
        </w:rPr>
        <w:t>，</w:t>
      </w:r>
      <w:r>
        <w:rPr>
          <w:rFonts w:hint="eastAsia" w:ascii="仿宋_GB2312" w:hAnsi="华文仿宋" w:eastAsia="仿宋_GB2312" w:cs="Arial Unicode MS"/>
          <w:color w:val="000000"/>
          <w:sz w:val="32"/>
          <w:szCs w:val="32"/>
        </w:rPr>
        <w:t>拟</w:t>
      </w:r>
      <w:r>
        <w:rPr>
          <w:rFonts w:hint="eastAsia" w:ascii="仿宋_GB2312" w:hAnsi="华文仿宋" w:eastAsia="仿宋_GB2312" w:cs="Arial Unicode MS"/>
          <w:color w:val="000000"/>
          <w:sz w:val="32"/>
          <w:szCs w:val="32"/>
          <w:lang w:val="en-US" w:eastAsia="zh-CN"/>
        </w:rPr>
        <w:t>采购</w:t>
      </w:r>
      <w:r>
        <w:rPr>
          <w:rFonts w:hint="eastAsia" w:ascii="仿宋_GB2312" w:hAnsi="华文仿宋" w:eastAsia="仿宋_GB2312" w:cs="Arial Unicode MS"/>
          <w:color w:val="000000"/>
          <w:sz w:val="32"/>
          <w:szCs w:val="32"/>
        </w:rPr>
        <w:t>全频音箱</w:t>
      </w:r>
      <w:r>
        <w:rPr>
          <w:rFonts w:hint="eastAsia" w:ascii="仿宋_GB2312" w:hAnsi="华文仿宋" w:eastAsia="仿宋_GB2312" w:cs="Arial Unicode MS"/>
          <w:color w:val="000000"/>
          <w:sz w:val="32"/>
          <w:szCs w:val="32"/>
          <w:lang w:eastAsia="zh-CN"/>
        </w:rPr>
        <w:t>、功率放大器、音箱数字处理器、调音台、反馈抑制器、无线鹅颈会议话筒、电源时序器、LED屏</w:t>
      </w:r>
      <w:r>
        <w:rPr>
          <w:rFonts w:hint="eastAsia" w:ascii="仿宋_GB2312" w:hAnsi="华文仿宋" w:eastAsia="仿宋_GB2312" w:cs="Arial Unicode MS"/>
          <w:color w:val="000000"/>
          <w:sz w:val="32"/>
          <w:szCs w:val="32"/>
        </w:rPr>
        <w:t>等设备</w:t>
      </w:r>
      <w:r>
        <w:rPr>
          <w:rFonts w:hint="eastAsia" w:ascii="仿宋_GB2312" w:hAnsi="华文仿宋" w:eastAsia="仿宋_GB2312" w:cs="Arial Unicode MS"/>
          <w:color w:val="000000"/>
          <w:sz w:val="32"/>
          <w:szCs w:val="32"/>
          <w:lang w:val="en-US" w:eastAsia="zh-CN"/>
        </w:rPr>
        <w:t>，</w:t>
      </w:r>
      <w:r>
        <w:rPr>
          <w:rFonts w:hint="eastAsia" w:ascii="仿宋_GB2312" w:hAnsi="华文中宋" w:eastAsia="仿宋_GB2312"/>
          <w:sz w:val="32"/>
          <w:szCs w:val="32"/>
          <w:lang w:val="en-US" w:eastAsia="zh-CN"/>
        </w:rPr>
        <w:t>做好</w:t>
      </w:r>
      <w:r>
        <w:rPr>
          <w:rFonts w:hint="eastAsia" w:ascii="仿宋_GB2312" w:hAnsi="华文仿宋" w:eastAsia="仿宋_GB2312"/>
          <w:sz w:val="32"/>
          <w:szCs w:val="32"/>
          <w:lang w:val="en-US" w:eastAsia="zh-CN"/>
        </w:rPr>
        <w:t>会议系统升级工作</w:t>
      </w:r>
      <w:r>
        <w:rPr>
          <w:rFonts w:hint="eastAsia" w:ascii="仿宋_GB2312" w:hAnsi="华文仿宋" w:eastAsia="仿宋_GB2312" w:cs="Arial Unicode MS"/>
          <w:color w:val="000000"/>
          <w:sz w:val="32"/>
          <w:szCs w:val="32"/>
          <w:lang w:val="en-US" w:eastAsia="zh-CN"/>
        </w:rPr>
        <w:t>。</w:t>
      </w:r>
    </w:p>
    <w:p>
      <w:pPr>
        <w:spacing w:before="156" w:beforeLines="50" w:line="640" w:lineRule="exact"/>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二、采购内容</w:t>
      </w:r>
    </w:p>
    <w:p>
      <w:pPr>
        <w:ind w:firstLine="640" w:firstLineChars="200"/>
        <w:rPr>
          <w:rFonts w:ascii="仿宋_GB2312" w:hAnsi="华文仿宋" w:eastAsia="仿宋_GB2312" w:cs="Arial Unicode MS"/>
          <w:color w:val="000000"/>
          <w:sz w:val="32"/>
          <w:szCs w:val="32"/>
        </w:rPr>
      </w:pPr>
      <w:r>
        <w:rPr>
          <w:rFonts w:hint="eastAsia" w:ascii="仿宋_GB2312" w:hAnsi="华文仿宋" w:eastAsia="仿宋_GB2312" w:cs="Arial Unicode MS"/>
          <w:color w:val="000000"/>
          <w:sz w:val="32"/>
          <w:szCs w:val="32"/>
        </w:rPr>
        <w:t>拟采购设备、数</w:t>
      </w:r>
      <w:r>
        <w:rPr>
          <w:rFonts w:hint="eastAsia" w:ascii="仿宋_GB2312" w:hAnsi="华文仿宋" w:eastAsia="仿宋_GB2312" w:cs="Arial Unicode MS"/>
          <w:color w:val="000000"/>
          <w:sz w:val="32"/>
          <w:szCs w:val="32"/>
          <w:lang w:val="en-US" w:eastAsia="zh-CN"/>
        </w:rPr>
        <w:t>量</w:t>
      </w:r>
      <w:r>
        <w:rPr>
          <w:rFonts w:hint="eastAsia" w:ascii="仿宋_GB2312" w:hAnsi="华文仿宋" w:eastAsia="仿宋_GB2312" w:cs="Arial Unicode MS"/>
          <w:color w:val="000000"/>
          <w:sz w:val="32"/>
          <w:szCs w:val="32"/>
        </w:rPr>
        <w:t>和</w:t>
      </w:r>
      <w:r>
        <w:rPr>
          <w:rFonts w:hint="eastAsia" w:ascii="仿宋_GB2312" w:hAnsi="华文仿宋" w:eastAsia="仿宋_GB2312" w:cs="Arial Unicode MS"/>
          <w:color w:val="000000"/>
          <w:sz w:val="32"/>
          <w:szCs w:val="32"/>
          <w:lang w:val="en-US" w:eastAsia="zh-CN"/>
        </w:rPr>
        <w:t>主要技术</w:t>
      </w:r>
      <w:r>
        <w:rPr>
          <w:rFonts w:hint="eastAsia" w:ascii="仿宋_GB2312" w:hAnsi="华文仿宋" w:eastAsia="仿宋_GB2312" w:cs="Arial Unicode MS"/>
          <w:color w:val="000000"/>
          <w:sz w:val="32"/>
          <w:szCs w:val="32"/>
        </w:rPr>
        <w:t>参数如下：</w:t>
      </w:r>
    </w:p>
    <w:tbl>
      <w:tblPr>
        <w:tblStyle w:val="7"/>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987"/>
        <w:gridCol w:w="5508"/>
        <w:gridCol w:w="809"/>
        <w:gridCol w:w="1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817" w:type="dxa"/>
            <w:tcBorders>
              <w:tl2br w:val="nil"/>
              <w:tr2bl w:val="nil"/>
            </w:tcBorders>
            <w:shd w:val="clear" w:color="auto" w:fill="auto"/>
            <w:vAlign w:val="center"/>
          </w:tcPr>
          <w:p>
            <w:pPr>
              <w:jc w:val="center"/>
              <w:rPr>
                <w:rFonts w:hint="eastAsia" w:asciiTheme="majorEastAsia" w:hAnsiTheme="majorEastAsia" w:eastAsiaTheme="majorEastAsia" w:cstheme="majorEastAsia"/>
                <w:b w:val="0"/>
                <w:bCs/>
                <w:spacing w:val="-8"/>
                <w:sz w:val="24"/>
                <w:szCs w:val="24"/>
              </w:rPr>
            </w:pPr>
            <w:r>
              <w:rPr>
                <w:rFonts w:hint="eastAsia" w:asciiTheme="majorEastAsia" w:hAnsiTheme="majorEastAsia" w:eastAsiaTheme="majorEastAsia" w:cstheme="majorEastAsia"/>
                <w:b w:val="0"/>
                <w:bCs/>
                <w:spacing w:val="-8"/>
                <w:sz w:val="24"/>
                <w:szCs w:val="24"/>
              </w:rPr>
              <w:t>序号</w:t>
            </w:r>
          </w:p>
        </w:tc>
        <w:tc>
          <w:tcPr>
            <w:tcW w:w="987" w:type="dxa"/>
            <w:tcBorders>
              <w:tl2br w:val="nil"/>
              <w:tr2bl w:val="nil"/>
            </w:tcBorders>
            <w:shd w:val="clear" w:color="auto" w:fill="auto"/>
            <w:vAlign w:val="center"/>
          </w:tcPr>
          <w:p>
            <w:pPr>
              <w:spacing w:line="360" w:lineRule="exact"/>
              <w:jc w:val="cente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设备</w:t>
            </w:r>
          </w:p>
          <w:p>
            <w:pPr>
              <w:spacing w:line="360" w:lineRule="exact"/>
              <w:jc w:val="cente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名称</w:t>
            </w:r>
          </w:p>
        </w:tc>
        <w:tc>
          <w:tcPr>
            <w:tcW w:w="5508" w:type="dxa"/>
            <w:tcBorders>
              <w:tl2br w:val="nil"/>
              <w:tr2bl w:val="nil"/>
            </w:tcBorders>
            <w:shd w:val="clear" w:color="auto" w:fill="auto"/>
            <w:vAlign w:val="center"/>
          </w:tcPr>
          <w:p>
            <w:pPr>
              <w:jc w:val="cente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主要技术参数</w:t>
            </w:r>
          </w:p>
        </w:tc>
        <w:tc>
          <w:tcPr>
            <w:tcW w:w="809" w:type="dxa"/>
            <w:tcBorders>
              <w:tl2br w:val="nil"/>
              <w:tr2bl w:val="nil"/>
            </w:tcBorders>
            <w:shd w:val="clear" w:color="auto" w:fill="auto"/>
            <w:vAlign w:val="center"/>
          </w:tcPr>
          <w:p>
            <w:pPr>
              <w:jc w:val="cente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数量</w:t>
            </w:r>
          </w:p>
        </w:tc>
        <w:tc>
          <w:tcPr>
            <w:tcW w:w="1206" w:type="dxa"/>
            <w:tcBorders>
              <w:tl2br w:val="nil"/>
              <w:tr2bl w:val="nil"/>
            </w:tcBorders>
            <w:shd w:val="clear" w:color="auto" w:fill="auto"/>
            <w:vAlign w:val="center"/>
          </w:tcPr>
          <w:p>
            <w:pPr>
              <w:spacing w:line="360" w:lineRule="exact"/>
              <w:jc w:val="cente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参考</w:t>
            </w:r>
          </w:p>
          <w:p>
            <w:pPr>
              <w:spacing w:line="360" w:lineRule="exact"/>
              <w:jc w:val="cente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品牌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全频音箱</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1、系统类型：单10寸二分频音箱；</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2、频率响应：75Hz~17KHz（±3dB）；65Hz~18KHz (-10dB )；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3、灵敏度(1W/1m)： 96dB；</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4、标称阻抗：8Ω；</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5、额定功率（AES）：250W；</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6、低音单元：10寸65芯 铝盆架纸盆单元；</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7、高音单元：1.5寸，1X25mm出口压缩驱动器(34mm音圈)；</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8、覆盖角度(H×V)：80゜×50゜；</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9、最大声压级(连续/峰值)：120dB/126dB；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10、连接件：2×SPEAKON四芯音箱插座1+1-；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11、吊挂硬件：M10吊点×10、35mm底托；</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★提供数字音箱控制软件著作权登记证书复印件并加盖原厂公章；</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★提供针对本项目的原厂授权函和质保函并加盖原厂公章；</w:t>
            </w:r>
          </w:p>
        </w:tc>
        <w:tc>
          <w:tcPr>
            <w:tcW w:w="809"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eastAsia="zh-CN"/>
              </w:rPr>
              <w:t>6台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锐丰、天玛、拜卡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2</w:t>
            </w:r>
          </w:p>
        </w:tc>
        <w:tc>
          <w:tcPr>
            <w:tcW w:w="987" w:type="dxa"/>
            <w:tcBorders>
              <w:tl2br w:val="nil"/>
              <w:tr2bl w:val="nil"/>
            </w:tcBorders>
            <w:shd w:val="clear" w:color="auto" w:fill="auto"/>
            <w:vAlign w:val="center"/>
          </w:tcPr>
          <w:p>
            <w:pPr>
              <w:widowControl/>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功率放大器</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 xml:space="preserve">1、8Ω立体声功率550W×2；4Ω立体声功率:780W×2；8Ω桥接功率:1560W×1；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2、频率范围:（1W@8Ω）20Hz-20kHz +1/-1dB；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3、总谐波失真:≤0.03%；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4、信噪比:≥100dB；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5、阻尼系数:≥180:1；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6、转换速率:25V/us；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7、电压放大倍数（0.775V）：81；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8、输入阻抗：20kΩ平衡/10kΩ非平衡；                                                                                                                                                                                       9、前面板指示:保护指示灯、削波指示灯、信号指示灯；</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10、功放保护：具有直流保护、过载保护、短路保护、过热保护、压限保护、软启动保护等；</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11、电源要求：220V ~50-60Hz；</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★生产厂家要求：厂家具有ISO9001质量管理体系认证证书、SO20000信息技术服务管理体系证书</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开标时提供证书的复印件并加盖原厂公章；</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★提供音频功率放大器高新技术产品证书复印件并加盖原厂公章；</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kern w:val="0"/>
                <w:sz w:val="18"/>
                <w:szCs w:val="18"/>
              </w:rPr>
              <w:t>3</w:t>
            </w:r>
            <w:r>
              <w:rPr>
                <w:rFonts w:hint="eastAsia" w:asciiTheme="minorEastAsia" w:hAnsiTheme="minorEastAsia" w:eastAsiaTheme="minorEastAsia" w:cstheme="minorEastAsia"/>
                <w:color w:val="000000"/>
                <w:kern w:val="0"/>
                <w:sz w:val="18"/>
                <w:szCs w:val="18"/>
                <w:lang w:val="en-US" w:eastAsia="zh-CN"/>
              </w:rPr>
              <w:t>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锐丰、天玛、拜卡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3进6出音箱数字处理器</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1、输入：3路平衡输入；</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2、输出：6路平衡输出；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3、输入阻抗 ：10KΩ；</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4、输出阻抗 ：47Ω；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5、最大输入电平 ：+20dBu；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6、最大输出电平 ：+20dBu；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7、频率响应 ：15Hz~20kHz，&lt;-0.25dB；</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8、动态范围 ：&gt;115dB，22Hz~22kHz不计权；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9、总谐波失真+噪声 ：&lt;0.006%，20Hz~20kHz@+10dBu 平衡输入 &lt;0.0015%，1kHz@+10dBu 平衡输入；</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10、等效输入噪声 ：&lt;50uV；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11、采样率 ：96kHz；</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12、信噪比 ：&gt;100dB，20Hz~20kHz；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13、共模抑制比 ：&gt;60dB；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14、内部通道串音 ：&lt;-95dB；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15、模/数和数/模转换 ：24bit PCM；</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16、参数均衡器 ：每输入/输出通道6段参数均衡；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17、滤波器 ：每输入/输出带1阶和2阶全通滤波器；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18、延时器 ：每输入/输出通道1000毫秒；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19、分频器 ：Butterworth,Bessel,Linkwitz-Riley12, 18, 24, 36, 48dB/octave；</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20、处理延时 ：4.5ms；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21、供电电源 ：50/60Hz，90-240伏交流电；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22、消耗功率 ：&lt;20W；</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★矩阵数字音频处理器控制软件著作权登记证书; 数字音频媒体矩阵控制软件著作权登记证书; 数字音频混音处理器控制软件著作权登记证书;数字混音器控制软件著作权登记证书;提供以上软件著作权复印件并加盖原厂公章；</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★提供数字音频处理器高新技术产品证书复印件并加盖原厂公章；</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锐丰、天玛、拜卡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4</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12路调音台</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1、采用日本ALPS的推子和电位器， 60mm推子，瑞士NEUTRIK连接器；</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2、12路输入通道，6路话筒输入端口+2组立体声线路输入（每路单独开关控制+48V幻像供电）或选择4路话筒单通道+ 4组立体声线路输入；</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3、1-6通道3段均衡（中频段扫频）和高通滤波器 ；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4、1-4通道内置通道压缩器 ；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5、二编组，内置效果器，2Aux；</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6、高精度三色精确电平柱，准确显示输出电平，监听电平；</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7、配外置低静噪电源；</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8、能安装在19″机架上；</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9、消耗功率: 35W；</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★提供数字调音台控制软件著作权登记证书复印件并加盖原厂公章；</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锐丰、天玛、拜卡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5</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反馈抑制器</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1、2进2出专业自动反馈抑制器；</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2、双通道自动搜寻反馈（啸叫）频率；</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3、每通道拥有24个编程可控的滤波器储存位置；</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4、工作模式可选音乐 (轻度滤波)和话筒 (加强滤波)；</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5、使用中固定滤波模式和自动实时滤波模式同时工作；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6、每个输入通道带信电平指示灯和24个滤波工作指示灯；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7、带前面板按健锁定开关，防止误操作；</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8、2个XLR 和2个TRS 平衡式输入接口；</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9、2个XLR 和2个TRS 平衡式输出接口；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10、取样频率：48KHz；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11、动态范围：106 dB（A计权）；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12、信噪比：106dB（A计权）；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13、总谐波失真：0.01 %,1kHz；</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锐丰、天玛、拜卡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6</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一拖四无线鹅颈会议话筒</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1、载波频段:UHF620-850MHz；</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2、通道数:4通道；</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3、调制方式:FM；</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4、工作有效距离:60米；</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5、振荡方式:PLL相位锁定频率合成；</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6、灵敏度:在偏移度等于25KHz  输入6dBv时  S/N＞60dB；</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7、最大偏移度:±45KHz；</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8、综合S/N比:＞105dB；</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9、综合T.H.D:＜0.7%  1KHz；</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10、综合频率响应:45HZ-18KHz  ±3dB；</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11、供电:DC12V-16V  10W；</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12、输出插座:XLR平行式及6.3不平行式插座；</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★提供智能会议系统产品高新技术产品证书复印件并加盖原厂公章；</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★全数字会议系统控制软件著作权登记证书;音频网络传输设备控制软件著作权登记证书;提供软件著作权复印件并加盖原厂公章；</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2</w:t>
            </w:r>
            <w:r>
              <w:rPr>
                <w:rFonts w:hint="eastAsia" w:asciiTheme="minorEastAsia" w:hAnsiTheme="minorEastAsia" w:eastAsiaTheme="minorEastAsia" w:cstheme="minorEastAsia"/>
                <w:color w:val="000000"/>
                <w:kern w:val="0"/>
                <w:sz w:val="18"/>
                <w:szCs w:val="18"/>
                <w:lang w:val="en-US" w:eastAsia="zh-CN"/>
              </w:rPr>
              <w:t>套</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0"/>
                <w:sz w:val="18"/>
                <w:szCs w:val="18"/>
              </w:rPr>
              <w:t>锐丰、天玛、拜卡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5"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7</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电源时序器</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 xml:space="preserve">1、8路电源时序控制器，8个16A万用插座；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2、总容量：220V,45A；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3、第1-2路：单路最大输出电流10A（带2阶滤波）第3-8路：单路最大输出电流:16A；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4、输入电源：AC220V 50Hz；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5、电压指示表：0-300V；</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6、通讯接口：RS-232 (级联、中控、PC机通用控制口）；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7、级联数量：时序器模式时可无限级联，电源控制器模式时可7台级联；</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 xml:space="preserve">8、时序延时时间：0.5S-3.5S（可设定）； </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★电源时序器可以通过软件控制，提供软件控制界面截图并加盖原厂公章</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0"/>
                <w:sz w:val="18"/>
                <w:szCs w:val="18"/>
              </w:rPr>
              <w:t>锐丰、天玛、拜卡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8</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LED面光</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1、工作电压：AC110V-240V，50/60HZ；</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2、额定功率：100W；</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3、灯珠功率：50W纯白+50W暖白；</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4、灯珠数量：1颗；</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5、频闪：0-20HZ；</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6、调光：标准模式+4种调光曲线；</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7、出光角度： 60度，可加挡光板改变角度；</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8、散热：风扇温控启动；</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9、噪音：1.5米外同环境噪音；</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10、控制信号：DMX512；</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11、控制通道：5CH/2CH；</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12、操作模式：DMX512、手动；</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14</w:t>
            </w:r>
            <w:r>
              <w:rPr>
                <w:rFonts w:hint="eastAsia" w:asciiTheme="minorEastAsia" w:hAnsiTheme="minorEastAsia" w:eastAsiaTheme="minorEastAsia" w:cstheme="minorEastAsia"/>
                <w:kern w:val="0"/>
                <w:sz w:val="18"/>
                <w:szCs w:val="18"/>
                <w:lang w:val="en-US" w:eastAsia="zh-CN"/>
              </w:rPr>
              <w:t>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黄河、雅格莱、雅格仕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9</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380控台</w:t>
            </w:r>
          </w:p>
        </w:tc>
        <w:tc>
          <w:tcPr>
            <w:tcW w:w="5508" w:type="dxa"/>
            <w:tcBorders>
              <w:tl2br w:val="nil"/>
              <w:tr2bl w:val="nil"/>
            </w:tcBorders>
            <w:shd w:val="clear" w:color="auto" w:fill="auto"/>
            <w:vAlign w:val="center"/>
          </w:tcPr>
          <w:p>
            <w:pPr>
              <w:widowControl/>
              <w:spacing w:line="400" w:lineRule="exact"/>
              <w:jc w:val="left"/>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1、电源：DV9V 1000毫安；</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2、DMX信号输出连接器：XLR - D3F；</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3、DMX 512/1990标准；</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4、504Channels；</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5、液晶背光显示屏；</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6、可以控制20台电脑灯，每台电脑灯最多24通道；</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7、24个调光通道；</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8、8个通道控制推子；</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9、一个可设置的摇杆装置；</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10、可以手动操作；</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11、12个可编程步序（每个步序可编40步）；</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12、480步；</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13、两步之间时间跨度：跨时间0.1秒，25.5秒；</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14、速度范围时间：0.1秒，25.5秒；</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15、每个所编辑的速度和跨时间可自动保存；</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16、128K的高容量记忆卡；</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17、日期自动保存；</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18、尺寸：48.5 * 25 * 91（厘米）；</w:t>
            </w:r>
            <w:r>
              <w:rPr>
                <w:rFonts w:hint="eastAsia" w:asciiTheme="minorEastAsia" w:hAnsiTheme="minorEastAsia" w:eastAsiaTheme="minorEastAsia" w:cstheme="minorEastAsia"/>
                <w:kern w:val="0"/>
                <w:sz w:val="18"/>
                <w:szCs w:val="18"/>
              </w:rPr>
              <w:br w:type="textWrapping"/>
            </w:r>
            <w:r>
              <w:rPr>
                <w:rFonts w:hint="eastAsia" w:asciiTheme="minorEastAsia" w:hAnsiTheme="minorEastAsia" w:eastAsiaTheme="minorEastAsia" w:cstheme="minorEastAsia"/>
                <w:kern w:val="0"/>
                <w:sz w:val="18"/>
                <w:szCs w:val="18"/>
              </w:rPr>
              <w:t>★生产厂家获得过十佳灯光灯控证书，开标时提供证书的复印件并加盖原厂红章；</w:t>
            </w:r>
          </w:p>
        </w:tc>
        <w:tc>
          <w:tcPr>
            <w:tcW w:w="809"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w:t>
            </w:r>
            <w:r>
              <w:rPr>
                <w:rFonts w:hint="eastAsia" w:asciiTheme="minorEastAsia" w:hAnsiTheme="minorEastAsia" w:eastAsiaTheme="minorEastAsia" w:cstheme="minorEastAsia"/>
                <w:color w:val="000000"/>
                <w:kern w:val="0"/>
                <w:sz w:val="18"/>
                <w:szCs w:val="18"/>
                <w:lang w:val="en-US" w:eastAsia="zh-CN"/>
              </w:rPr>
              <w:t>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kern w:val="0"/>
                <w:sz w:val="18"/>
                <w:szCs w:val="18"/>
              </w:rPr>
              <w:t>黄河、雅格莱、雅格仕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1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10</w:t>
            </w:r>
          </w:p>
        </w:tc>
        <w:tc>
          <w:tcPr>
            <w:tcW w:w="987"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LED屏</w:t>
            </w:r>
          </w:p>
        </w:tc>
        <w:tc>
          <w:tcPr>
            <w:tcW w:w="5508" w:type="dxa"/>
            <w:tcBorders>
              <w:tl2br w:val="nil"/>
              <w:tr2bl w:val="nil"/>
            </w:tcBorders>
            <w:shd w:val="clear" w:color="auto" w:fill="auto"/>
            <w:vAlign w:val="center"/>
          </w:tcPr>
          <w:p>
            <w:pP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屏体尺寸：0.42M×8.1M；物理间距点：10 ；理想视角：水平±80°垂直75°；物理密度（点/㎡）：10000；驱动方式：恒流驱动，动态。发光亮度（cd/㎡）:3000 ;扫描方式：1/4;单元板尺寸： 160MM*320MM；单元板接口：HUB12；理想间距：﹥5 ；发光灯寿命：10W小时；控制方式：U盘卡、无线WIFI卡、网口卡、串口卡、GPRS无线卡。包含钢结构底座、钢架、支架及LED屏体包边装饰。</w:t>
            </w:r>
          </w:p>
        </w:tc>
        <w:tc>
          <w:tcPr>
            <w:tcW w:w="809"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美亚迪、强力巨彩、利亚德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817" w:type="dxa"/>
            <w:tcBorders>
              <w:tl2br w:val="nil"/>
              <w:tr2bl w:val="nil"/>
            </w:tcBorders>
            <w:shd w:val="clear" w:color="auto" w:fill="auto"/>
            <w:vAlign w:val="center"/>
          </w:tcPr>
          <w:p>
            <w:pPr>
              <w:tabs>
                <w:tab w:val="left" w:pos="442"/>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98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机柜</w:t>
            </w:r>
          </w:p>
        </w:tc>
        <w:tc>
          <w:tcPr>
            <w:tcW w:w="5508" w:type="dxa"/>
            <w:tcBorders>
              <w:tl2br w:val="nil"/>
              <w:tr2bl w:val="nil"/>
            </w:tcBorders>
            <w:shd w:val="clear" w:color="auto" w:fill="auto"/>
            <w:vAlign w:val="center"/>
          </w:tcPr>
          <w:p>
            <w:pPr>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0"/>
                <w:sz w:val="18"/>
                <w:szCs w:val="18"/>
              </w:rPr>
              <w:t>产品类型：</w:t>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"https://product.pconline.com.cn/so/s33531/" \t "_blank"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kern w:val="0"/>
                <w:sz w:val="18"/>
                <w:szCs w:val="18"/>
              </w:rPr>
              <w:t>网络机柜</w:t>
            </w:r>
            <w:r>
              <w:rPr>
                <w:rFonts w:hint="eastAsia" w:asciiTheme="minorEastAsia" w:hAnsiTheme="minorEastAsia" w:eastAsiaTheme="minorEastAsia" w:cstheme="minorEastAsia"/>
                <w:kern w:val="0"/>
                <w:sz w:val="18"/>
                <w:szCs w:val="18"/>
              </w:rPr>
              <w:fldChar w:fldCharType="end"/>
            </w:r>
            <w:r>
              <w:rPr>
                <w:rFonts w:hint="eastAsia" w:asciiTheme="minorEastAsia" w:hAnsiTheme="minorEastAsia" w:eastAsiaTheme="minorEastAsia" w:cstheme="minorEastAsia"/>
                <w:kern w:val="0"/>
                <w:sz w:val="18"/>
                <w:szCs w:val="18"/>
              </w:rPr>
              <w:t>；机柜容量：42U；前门玻璃,后门钣金</w:t>
            </w:r>
            <w:r>
              <w:rPr>
                <w:rFonts w:hint="eastAsia" w:asciiTheme="minorEastAsia" w:hAnsiTheme="minorEastAsia" w:eastAsiaTheme="minorEastAsia" w:cstheme="minorEastAsia"/>
                <w:kern w:val="0"/>
                <w:sz w:val="18"/>
                <w:szCs w:val="18"/>
                <w:lang w:eastAsia="zh-CN"/>
              </w:rPr>
              <w:t>。</w:t>
            </w:r>
          </w:p>
        </w:tc>
        <w:tc>
          <w:tcPr>
            <w:tcW w:w="809"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1台</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图腾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98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辅材及其它</w:t>
            </w:r>
          </w:p>
        </w:tc>
        <w:tc>
          <w:tcPr>
            <w:tcW w:w="5508" w:type="dxa"/>
            <w:tcBorders>
              <w:tl2br w:val="nil"/>
              <w:tr2bl w:val="nil"/>
            </w:tcBorders>
            <w:shd w:val="clear" w:color="auto" w:fill="auto"/>
            <w:vAlign w:val="center"/>
          </w:tcPr>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配套音箱支架、灯钩、保险绳、音响线、电源线等，以现场实际部署为准。</w:t>
            </w:r>
          </w:p>
        </w:tc>
        <w:tc>
          <w:tcPr>
            <w:tcW w:w="809"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1项</w:t>
            </w:r>
          </w:p>
        </w:tc>
        <w:tc>
          <w:tcPr>
            <w:tcW w:w="1206"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18"/>
                <w:szCs w:val="18"/>
              </w:rPr>
            </w:pPr>
          </w:p>
        </w:tc>
      </w:tr>
    </w:tbl>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3" w:firstLineChars="200"/>
        <w:textAlignment w:val="auto"/>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val="0"/>
        <w:snapToGrid w:val="0"/>
        <w:spacing w:before="156" w:beforeLines="50" w:line="560" w:lineRule="exac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三、资质要求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1.符合《中华人民共和国政府采购法》第二十二条规定；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2.本项目不接受联合体参与。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3.供应商存在以下不良信用记录情形之一的，不得推荐为成交候选供应商，不得确定为成交供应商：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（1）供应商被人民法院列入失信被执行人的；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（2）供应商或其法定代表人或拟派项目经理（项目负责人）被人民检察院列入行贿犯罪档案的；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（3）供应商被工商行政管理部门列入企业经营异常名录的；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（4）供应商被税务部门列入重大税收违法案件当事人名单的；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（5）供应商被政府采购监管部门列入政府采购严重违法失信行为记录名单的。</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firstLine="643" w:firstLineChars="20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四、投标文件组成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1</w:t>
      </w:r>
      <w:r>
        <w:rPr>
          <w:rFonts w:hint="eastAsia" w:ascii="仿宋_GB2312" w:hAnsi="华文仿宋" w:eastAsia="仿宋_GB2312" w:cs="Arial Unicode MS"/>
          <w:color w:val="000000"/>
          <w:sz w:val="32"/>
          <w:szCs w:val="32"/>
        </w:rPr>
        <w:t>、法人授权委托书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2</w:t>
      </w:r>
      <w:r>
        <w:rPr>
          <w:rFonts w:hint="eastAsia" w:ascii="仿宋_GB2312" w:hAnsi="华文仿宋" w:eastAsia="仿宋_GB2312" w:cs="Arial Unicode MS"/>
          <w:color w:val="000000"/>
          <w:sz w:val="32"/>
          <w:szCs w:val="32"/>
        </w:rPr>
        <w:t>、营业执照（复印件、原件备查）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3</w:t>
      </w:r>
      <w:r>
        <w:rPr>
          <w:rFonts w:hint="eastAsia" w:ascii="仿宋_GB2312" w:hAnsi="华文仿宋" w:eastAsia="仿宋_GB2312" w:cs="Arial Unicode MS"/>
          <w:color w:val="000000"/>
          <w:sz w:val="32"/>
          <w:szCs w:val="32"/>
        </w:rPr>
        <w:t>、税务登记证（复印件、原件备查）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4</w:t>
      </w:r>
      <w:r>
        <w:rPr>
          <w:rFonts w:hint="eastAsia" w:ascii="仿宋_GB2312" w:hAnsi="华文仿宋" w:eastAsia="仿宋_GB2312" w:cs="Arial Unicode MS"/>
          <w:color w:val="000000"/>
          <w:sz w:val="32"/>
          <w:szCs w:val="32"/>
        </w:rPr>
        <w:t>、项目案例（合同复印件、原件备查）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5</w:t>
      </w:r>
      <w:r>
        <w:rPr>
          <w:rFonts w:hint="eastAsia" w:ascii="仿宋_GB2312" w:hAnsi="华文仿宋" w:eastAsia="仿宋_GB2312" w:cs="Arial Unicode MS"/>
          <w:color w:val="000000"/>
          <w:sz w:val="32"/>
          <w:szCs w:val="32"/>
        </w:rPr>
        <w:t>、技术力量投入情况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6</w:t>
      </w:r>
      <w:r>
        <w:rPr>
          <w:rFonts w:hint="eastAsia" w:ascii="仿宋_GB2312" w:hAnsi="华文仿宋" w:eastAsia="仿宋_GB2312" w:cs="Arial Unicode MS"/>
          <w:color w:val="000000"/>
          <w:sz w:val="32"/>
          <w:szCs w:val="32"/>
        </w:rPr>
        <w:t>、服务质量保证情况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华文仿宋" w:eastAsia="仿宋_GB2312" w:cs="Arial Unicode MS"/>
          <w:color w:val="000000"/>
          <w:sz w:val="32"/>
          <w:szCs w:val="32"/>
        </w:rPr>
      </w:pPr>
      <w:r>
        <w:rPr>
          <w:rFonts w:ascii="仿宋_GB2312" w:hAnsi="华文仿宋" w:eastAsia="仿宋_GB2312" w:cs="Arial Unicode MS"/>
          <w:color w:val="000000"/>
          <w:sz w:val="32"/>
          <w:szCs w:val="32"/>
        </w:rPr>
        <w:t>7</w:t>
      </w:r>
      <w:r>
        <w:rPr>
          <w:rFonts w:hint="eastAsia" w:ascii="仿宋_GB2312" w:hAnsi="华文仿宋" w:eastAsia="仿宋_GB2312" w:cs="Arial Unicode MS"/>
          <w:color w:val="000000"/>
          <w:sz w:val="32"/>
          <w:szCs w:val="32"/>
        </w:rPr>
        <w:t>、投标报价单（表）</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firstLine="643" w:firstLineChars="20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五、售后服务要求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投标人针对所供设备需提供三年免费质保服务，</w:t>
      </w:r>
      <w:r>
        <w:rPr>
          <w:rFonts w:hint="eastAsia" w:ascii="仿宋_GB2312" w:hAnsi="仿宋_GB2312" w:eastAsia="仿宋_GB2312" w:cs="仿宋_GB2312"/>
          <w:sz w:val="32"/>
          <w:szCs w:val="32"/>
        </w:rPr>
        <w:t>质保期间提供</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小时技术支持和服务，对用户方所提出的故障排查要求</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分钟内作出响应，</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小时内到达现场。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、投标人应提供主要设备发生故障时的应急处理方案。保证对故障设备的及时维修和更换。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宋体" w:eastAsia="仿宋_GB2312" w:cs="宋体"/>
          <w:sz w:val="32"/>
          <w:szCs w:val="32"/>
        </w:rPr>
        <w:t>中标供应商按采购方要求的时间、地点供货，中标人负责设备安装、调试、培训等。</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firstLine="643" w:firstLineChars="20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val="en-US" w:eastAsia="zh-CN"/>
        </w:rPr>
        <w:t>六</w:t>
      </w:r>
      <w:bookmarkStart w:id="0" w:name="_GoBack"/>
      <w:bookmarkEnd w:id="0"/>
      <w:r>
        <w:rPr>
          <w:rFonts w:hint="eastAsia" w:asciiTheme="minorEastAsia" w:hAnsiTheme="minorEastAsia" w:eastAsiaTheme="minorEastAsia" w:cstheme="minorEastAsia"/>
          <w:b/>
          <w:sz w:val="32"/>
          <w:szCs w:val="32"/>
        </w:rPr>
        <w:t>、相关费用特别说明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1、本项目预算金额：人民币9万元。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Arial" w:eastAsia="仿宋_GB2312"/>
          <w:sz w:val="32"/>
          <w:szCs w:val="32"/>
        </w:rPr>
      </w:pPr>
      <w:r>
        <w:rPr>
          <w:rFonts w:hint="eastAsia" w:ascii="仿宋_GB2312" w:eastAsia="仿宋_GB2312"/>
          <w:sz w:val="32"/>
          <w:szCs w:val="32"/>
          <w:lang w:val="en-US" w:eastAsia="zh-CN"/>
        </w:rPr>
        <w:t>2、本项目实施过程中</w:t>
      </w:r>
      <w:r>
        <w:rPr>
          <w:rFonts w:hint="eastAsia" w:ascii="仿宋_GB2312" w:eastAsia="仿宋_GB2312"/>
          <w:sz w:val="32"/>
          <w:szCs w:val="32"/>
        </w:rPr>
        <w:t>产生的费用，包括人工费、</w:t>
      </w:r>
      <w:r>
        <w:rPr>
          <w:rFonts w:hint="eastAsia" w:ascii="仿宋_GB2312" w:eastAsia="仿宋_GB2312"/>
          <w:sz w:val="32"/>
          <w:szCs w:val="32"/>
          <w:lang w:val="en-US" w:eastAsia="zh-CN"/>
        </w:rPr>
        <w:t>运费、安装调试费用</w:t>
      </w:r>
      <w:r>
        <w:rPr>
          <w:rFonts w:hint="eastAsia" w:ascii="仿宋_GB2312" w:eastAsia="仿宋_GB2312"/>
          <w:sz w:val="32"/>
          <w:szCs w:val="32"/>
        </w:rPr>
        <w:t>等</w:t>
      </w:r>
      <w:r>
        <w:rPr>
          <w:rFonts w:hint="eastAsia" w:ascii="仿宋_GB2312" w:eastAsia="仿宋_GB2312"/>
          <w:sz w:val="32"/>
          <w:szCs w:val="32"/>
          <w:lang w:val="en-US" w:eastAsia="zh-CN"/>
        </w:rPr>
        <w:t>均</w:t>
      </w:r>
      <w:r>
        <w:rPr>
          <w:rFonts w:hint="eastAsia" w:ascii="仿宋_GB2312" w:eastAsia="仿宋_GB2312"/>
          <w:sz w:val="32"/>
          <w:szCs w:val="32"/>
        </w:rPr>
        <w:t>由投标方承担。</w:t>
      </w:r>
      <w:r>
        <w:rPr>
          <w:rFonts w:hint="eastAsia" w:ascii="仿宋_GB2312" w:hAnsi="Arial" w:eastAsia="仿宋_GB2312"/>
          <w:sz w:val="32"/>
          <w:szCs w:val="32"/>
        </w:rPr>
        <w:t>以上价格已含税。</w:t>
      </w:r>
    </w:p>
    <w:p>
      <w:pPr>
        <w:rPr>
          <w:rFonts w:ascii="仿宋_GB2312" w:hAnsi="华文仿宋" w:eastAsia="仿宋_GB2312" w:cs="Arial Unicode MS"/>
          <w:color w:val="000000"/>
          <w:sz w:val="32"/>
          <w:szCs w:val="32"/>
        </w:rPr>
      </w:pPr>
    </w:p>
    <w:sectPr>
      <w:footerReference r:id="rId3" w:type="default"/>
      <w:pgSz w:w="11906" w:h="16838"/>
      <w:pgMar w:top="2154" w:right="1474" w:bottom="2041"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jc w:val="center"/>
    </w:pPr>
  </w:p>
  <w:p>
    <w:pPr>
      <w:pStyle w:val="4"/>
      <w:jc w:val="center"/>
    </w:pPr>
    <w:r>
      <w:fldChar w:fldCharType="begin"/>
    </w:r>
    <w:r>
      <w:instrText xml:space="preserve">PAGE   \* MERGEFORMAT</w:instrText>
    </w:r>
    <w:r>
      <w:fldChar w:fldCharType="separate"/>
    </w:r>
    <w:r>
      <w:rPr>
        <w:lang w:val="zh-CN"/>
      </w:rPr>
      <w:t>-</w:t>
    </w:r>
    <w:r>
      <w:t xml:space="preserve"> 6 -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7FA"/>
    <w:rsid w:val="00026E4B"/>
    <w:rsid w:val="000333A6"/>
    <w:rsid w:val="00033978"/>
    <w:rsid w:val="00042EA2"/>
    <w:rsid w:val="000457BE"/>
    <w:rsid w:val="00046F78"/>
    <w:rsid w:val="00060DA4"/>
    <w:rsid w:val="00070043"/>
    <w:rsid w:val="000737B8"/>
    <w:rsid w:val="00074904"/>
    <w:rsid w:val="000908E6"/>
    <w:rsid w:val="000A4DEA"/>
    <w:rsid w:val="000A66FA"/>
    <w:rsid w:val="000B470F"/>
    <w:rsid w:val="000C4D14"/>
    <w:rsid w:val="000C5DC8"/>
    <w:rsid w:val="000D1EAD"/>
    <w:rsid w:val="000D3871"/>
    <w:rsid w:val="000E3EC9"/>
    <w:rsid w:val="000F5C8B"/>
    <w:rsid w:val="0010133B"/>
    <w:rsid w:val="001052BA"/>
    <w:rsid w:val="00111C53"/>
    <w:rsid w:val="00120394"/>
    <w:rsid w:val="001222AA"/>
    <w:rsid w:val="00132FAD"/>
    <w:rsid w:val="00147C25"/>
    <w:rsid w:val="00152F6A"/>
    <w:rsid w:val="00166806"/>
    <w:rsid w:val="001670FF"/>
    <w:rsid w:val="001675CC"/>
    <w:rsid w:val="00174B8C"/>
    <w:rsid w:val="00176E5C"/>
    <w:rsid w:val="0018042D"/>
    <w:rsid w:val="0019439E"/>
    <w:rsid w:val="001A5D5A"/>
    <w:rsid w:val="001A74BF"/>
    <w:rsid w:val="001B2FA6"/>
    <w:rsid w:val="001B5A28"/>
    <w:rsid w:val="001D0C71"/>
    <w:rsid w:val="001D3168"/>
    <w:rsid w:val="001D6A7C"/>
    <w:rsid w:val="001E1E50"/>
    <w:rsid w:val="00213438"/>
    <w:rsid w:val="00215BE7"/>
    <w:rsid w:val="002176F7"/>
    <w:rsid w:val="002177FA"/>
    <w:rsid w:val="0022611B"/>
    <w:rsid w:val="00237BD5"/>
    <w:rsid w:val="00265D68"/>
    <w:rsid w:val="00267BBF"/>
    <w:rsid w:val="00267EB8"/>
    <w:rsid w:val="00271DD7"/>
    <w:rsid w:val="00293251"/>
    <w:rsid w:val="002B5789"/>
    <w:rsid w:val="002D546B"/>
    <w:rsid w:val="002E469B"/>
    <w:rsid w:val="00301740"/>
    <w:rsid w:val="00312CCC"/>
    <w:rsid w:val="00313B83"/>
    <w:rsid w:val="00316F9A"/>
    <w:rsid w:val="0033325A"/>
    <w:rsid w:val="00343339"/>
    <w:rsid w:val="00343E4B"/>
    <w:rsid w:val="003536DC"/>
    <w:rsid w:val="003602C1"/>
    <w:rsid w:val="00360C57"/>
    <w:rsid w:val="00366888"/>
    <w:rsid w:val="00370731"/>
    <w:rsid w:val="00370B73"/>
    <w:rsid w:val="00375A3C"/>
    <w:rsid w:val="00386A3B"/>
    <w:rsid w:val="003931B1"/>
    <w:rsid w:val="00395FD2"/>
    <w:rsid w:val="003A33A7"/>
    <w:rsid w:val="003A5F63"/>
    <w:rsid w:val="003E44B1"/>
    <w:rsid w:val="004107CA"/>
    <w:rsid w:val="00445239"/>
    <w:rsid w:val="00453E5B"/>
    <w:rsid w:val="004618D1"/>
    <w:rsid w:val="0046555A"/>
    <w:rsid w:val="00467B90"/>
    <w:rsid w:val="0047206A"/>
    <w:rsid w:val="00491391"/>
    <w:rsid w:val="004A5923"/>
    <w:rsid w:val="004A6104"/>
    <w:rsid w:val="004A7D0D"/>
    <w:rsid w:val="004F0D7C"/>
    <w:rsid w:val="004F636F"/>
    <w:rsid w:val="0051034A"/>
    <w:rsid w:val="005120A7"/>
    <w:rsid w:val="00520416"/>
    <w:rsid w:val="00521E96"/>
    <w:rsid w:val="00527F5B"/>
    <w:rsid w:val="005375C2"/>
    <w:rsid w:val="00537DD0"/>
    <w:rsid w:val="00541120"/>
    <w:rsid w:val="005606A2"/>
    <w:rsid w:val="00573926"/>
    <w:rsid w:val="00575AF8"/>
    <w:rsid w:val="00580491"/>
    <w:rsid w:val="0058302C"/>
    <w:rsid w:val="0059368F"/>
    <w:rsid w:val="005A37C2"/>
    <w:rsid w:val="005E60E4"/>
    <w:rsid w:val="005F0F3B"/>
    <w:rsid w:val="005F2B08"/>
    <w:rsid w:val="005F3CB8"/>
    <w:rsid w:val="006010F5"/>
    <w:rsid w:val="00614099"/>
    <w:rsid w:val="00661136"/>
    <w:rsid w:val="00667CB6"/>
    <w:rsid w:val="006723EF"/>
    <w:rsid w:val="00677BE4"/>
    <w:rsid w:val="00680E97"/>
    <w:rsid w:val="00683E38"/>
    <w:rsid w:val="006A1481"/>
    <w:rsid w:val="006A553C"/>
    <w:rsid w:val="006A776D"/>
    <w:rsid w:val="006B0D05"/>
    <w:rsid w:val="006B5027"/>
    <w:rsid w:val="006D4628"/>
    <w:rsid w:val="006D499F"/>
    <w:rsid w:val="006E52E2"/>
    <w:rsid w:val="006F733F"/>
    <w:rsid w:val="00700D02"/>
    <w:rsid w:val="007026AC"/>
    <w:rsid w:val="007732B1"/>
    <w:rsid w:val="0077680A"/>
    <w:rsid w:val="007866DD"/>
    <w:rsid w:val="007A032A"/>
    <w:rsid w:val="007C7CDC"/>
    <w:rsid w:val="007F5159"/>
    <w:rsid w:val="007F62A7"/>
    <w:rsid w:val="008048AB"/>
    <w:rsid w:val="00806C51"/>
    <w:rsid w:val="00810804"/>
    <w:rsid w:val="008160EF"/>
    <w:rsid w:val="00822118"/>
    <w:rsid w:val="00823AC5"/>
    <w:rsid w:val="00823BDF"/>
    <w:rsid w:val="00832AFE"/>
    <w:rsid w:val="008621ED"/>
    <w:rsid w:val="00866F1F"/>
    <w:rsid w:val="00867F8E"/>
    <w:rsid w:val="00884785"/>
    <w:rsid w:val="008853D3"/>
    <w:rsid w:val="00886BE5"/>
    <w:rsid w:val="008B1533"/>
    <w:rsid w:val="008C3CC1"/>
    <w:rsid w:val="008F38CD"/>
    <w:rsid w:val="0092045C"/>
    <w:rsid w:val="009223E5"/>
    <w:rsid w:val="00927406"/>
    <w:rsid w:val="00931193"/>
    <w:rsid w:val="009450DD"/>
    <w:rsid w:val="0094651A"/>
    <w:rsid w:val="00946525"/>
    <w:rsid w:val="00972465"/>
    <w:rsid w:val="00972777"/>
    <w:rsid w:val="00990BC2"/>
    <w:rsid w:val="009A59C3"/>
    <w:rsid w:val="009A7189"/>
    <w:rsid w:val="009B3908"/>
    <w:rsid w:val="009B7FBC"/>
    <w:rsid w:val="009C4D94"/>
    <w:rsid w:val="009C6F8F"/>
    <w:rsid w:val="009D4A03"/>
    <w:rsid w:val="009F5446"/>
    <w:rsid w:val="00A001B4"/>
    <w:rsid w:val="00A02CFD"/>
    <w:rsid w:val="00A133E9"/>
    <w:rsid w:val="00A21F62"/>
    <w:rsid w:val="00A2582E"/>
    <w:rsid w:val="00A31FAC"/>
    <w:rsid w:val="00A437E2"/>
    <w:rsid w:val="00A62352"/>
    <w:rsid w:val="00A706A0"/>
    <w:rsid w:val="00A70875"/>
    <w:rsid w:val="00A91A2B"/>
    <w:rsid w:val="00AB12CE"/>
    <w:rsid w:val="00AC0DB1"/>
    <w:rsid w:val="00AC4FDD"/>
    <w:rsid w:val="00AD11E9"/>
    <w:rsid w:val="00AD5212"/>
    <w:rsid w:val="00AE52AC"/>
    <w:rsid w:val="00AE67C5"/>
    <w:rsid w:val="00AF3351"/>
    <w:rsid w:val="00AF7C23"/>
    <w:rsid w:val="00B0056F"/>
    <w:rsid w:val="00B05ED8"/>
    <w:rsid w:val="00B1578B"/>
    <w:rsid w:val="00B21804"/>
    <w:rsid w:val="00B268CD"/>
    <w:rsid w:val="00B53496"/>
    <w:rsid w:val="00B62B54"/>
    <w:rsid w:val="00B70429"/>
    <w:rsid w:val="00B807BD"/>
    <w:rsid w:val="00B9266B"/>
    <w:rsid w:val="00BA488B"/>
    <w:rsid w:val="00BA6FE0"/>
    <w:rsid w:val="00BA7CDD"/>
    <w:rsid w:val="00BB3FB8"/>
    <w:rsid w:val="00BB4D2F"/>
    <w:rsid w:val="00BB7B44"/>
    <w:rsid w:val="00BC1D94"/>
    <w:rsid w:val="00BC63D9"/>
    <w:rsid w:val="00BF0872"/>
    <w:rsid w:val="00BF7146"/>
    <w:rsid w:val="00C30D39"/>
    <w:rsid w:val="00C50999"/>
    <w:rsid w:val="00C516B8"/>
    <w:rsid w:val="00C6626C"/>
    <w:rsid w:val="00C667CF"/>
    <w:rsid w:val="00C73F0E"/>
    <w:rsid w:val="00C7687F"/>
    <w:rsid w:val="00C83023"/>
    <w:rsid w:val="00C90B0A"/>
    <w:rsid w:val="00C90CC1"/>
    <w:rsid w:val="00C96327"/>
    <w:rsid w:val="00C97322"/>
    <w:rsid w:val="00CE2E6E"/>
    <w:rsid w:val="00D16A43"/>
    <w:rsid w:val="00D25512"/>
    <w:rsid w:val="00D32646"/>
    <w:rsid w:val="00D40918"/>
    <w:rsid w:val="00D576B8"/>
    <w:rsid w:val="00D612AB"/>
    <w:rsid w:val="00D67580"/>
    <w:rsid w:val="00D7147C"/>
    <w:rsid w:val="00D72F0B"/>
    <w:rsid w:val="00D8773A"/>
    <w:rsid w:val="00D92F81"/>
    <w:rsid w:val="00DA28AF"/>
    <w:rsid w:val="00DA4C13"/>
    <w:rsid w:val="00DA7383"/>
    <w:rsid w:val="00DB471C"/>
    <w:rsid w:val="00DC736A"/>
    <w:rsid w:val="00DD1960"/>
    <w:rsid w:val="00DD4077"/>
    <w:rsid w:val="00E01A7C"/>
    <w:rsid w:val="00E02472"/>
    <w:rsid w:val="00E1568E"/>
    <w:rsid w:val="00E35671"/>
    <w:rsid w:val="00E44461"/>
    <w:rsid w:val="00E82891"/>
    <w:rsid w:val="00E91639"/>
    <w:rsid w:val="00E96137"/>
    <w:rsid w:val="00EA0935"/>
    <w:rsid w:val="00EB3ED6"/>
    <w:rsid w:val="00EB44B0"/>
    <w:rsid w:val="00EC56E2"/>
    <w:rsid w:val="00EE2F69"/>
    <w:rsid w:val="00EE38A6"/>
    <w:rsid w:val="00EF0861"/>
    <w:rsid w:val="00EF74E5"/>
    <w:rsid w:val="00F02FA6"/>
    <w:rsid w:val="00F06A8D"/>
    <w:rsid w:val="00F06DDF"/>
    <w:rsid w:val="00F133B9"/>
    <w:rsid w:val="00F202C3"/>
    <w:rsid w:val="00F37112"/>
    <w:rsid w:val="00F401C9"/>
    <w:rsid w:val="00F4247E"/>
    <w:rsid w:val="00F44FA4"/>
    <w:rsid w:val="00F5771B"/>
    <w:rsid w:val="00F63B45"/>
    <w:rsid w:val="00F67A6A"/>
    <w:rsid w:val="00F761FA"/>
    <w:rsid w:val="00FB56C5"/>
    <w:rsid w:val="00FB73B9"/>
    <w:rsid w:val="00FC1D28"/>
    <w:rsid w:val="00FC769A"/>
    <w:rsid w:val="00FC7AD7"/>
    <w:rsid w:val="00FD5E87"/>
    <w:rsid w:val="04A3012C"/>
    <w:rsid w:val="094D77D0"/>
    <w:rsid w:val="096D5B4C"/>
    <w:rsid w:val="0A264F34"/>
    <w:rsid w:val="0AE72DF4"/>
    <w:rsid w:val="0BB856CB"/>
    <w:rsid w:val="0E2A3E4A"/>
    <w:rsid w:val="0FBA7F7C"/>
    <w:rsid w:val="10D93895"/>
    <w:rsid w:val="14205CA4"/>
    <w:rsid w:val="157E0ECE"/>
    <w:rsid w:val="16CA6972"/>
    <w:rsid w:val="17956B0A"/>
    <w:rsid w:val="17F26B74"/>
    <w:rsid w:val="1EE24A39"/>
    <w:rsid w:val="1F256328"/>
    <w:rsid w:val="219552A7"/>
    <w:rsid w:val="23731FD9"/>
    <w:rsid w:val="24102138"/>
    <w:rsid w:val="24140B3E"/>
    <w:rsid w:val="24927C0D"/>
    <w:rsid w:val="268705C2"/>
    <w:rsid w:val="26937C58"/>
    <w:rsid w:val="26EA60E8"/>
    <w:rsid w:val="28F3561B"/>
    <w:rsid w:val="29C0458C"/>
    <w:rsid w:val="2A167176"/>
    <w:rsid w:val="2A512B11"/>
    <w:rsid w:val="2AEF2A80"/>
    <w:rsid w:val="2E323AD6"/>
    <w:rsid w:val="3380750C"/>
    <w:rsid w:val="34126A7A"/>
    <w:rsid w:val="36875285"/>
    <w:rsid w:val="37E56F5E"/>
    <w:rsid w:val="380B3C3F"/>
    <w:rsid w:val="3BF633ED"/>
    <w:rsid w:val="3C456B5E"/>
    <w:rsid w:val="3CA632F1"/>
    <w:rsid w:val="3CE242F0"/>
    <w:rsid w:val="3D600B8E"/>
    <w:rsid w:val="3D972B19"/>
    <w:rsid w:val="3EED0ECD"/>
    <w:rsid w:val="42B424FC"/>
    <w:rsid w:val="44647CC4"/>
    <w:rsid w:val="44CA7669"/>
    <w:rsid w:val="44D8697E"/>
    <w:rsid w:val="46F25D74"/>
    <w:rsid w:val="4AB11F98"/>
    <w:rsid w:val="4DB33889"/>
    <w:rsid w:val="4ED129DC"/>
    <w:rsid w:val="50812723"/>
    <w:rsid w:val="5096289F"/>
    <w:rsid w:val="52917F04"/>
    <w:rsid w:val="55F85C97"/>
    <w:rsid w:val="581C2802"/>
    <w:rsid w:val="58742320"/>
    <w:rsid w:val="5A5E4C52"/>
    <w:rsid w:val="5B8078C6"/>
    <w:rsid w:val="5C9F2C03"/>
    <w:rsid w:val="5D6F6DF1"/>
    <w:rsid w:val="5DE2749F"/>
    <w:rsid w:val="5E5D3E5D"/>
    <w:rsid w:val="609F2BCA"/>
    <w:rsid w:val="64D73191"/>
    <w:rsid w:val="659360AE"/>
    <w:rsid w:val="663F0B50"/>
    <w:rsid w:val="669272D6"/>
    <w:rsid w:val="66C642AD"/>
    <w:rsid w:val="67236BA8"/>
    <w:rsid w:val="68FE6839"/>
    <w:rsid w:val="6CD00095"/>
    <w:rsid w:val="6CE27191"/>
    <w:rsid w:val="6D446D4F"/>
    <w:rsid w:val="6DB054E8"/>
    <w:rsid w:val="6DCD1231"/>
    <w:rsid w:val="6E503A09"/>
    <w:rsid w:val="6F034B31"/>
    <w:rsid w:val="724D2013"/>
    <w:rsid w:val="72721BE9"/>
    <w:rsid w:val="75FA283E"/>
    <w:rsid w:val="766A3890"/>
    <w:rsid w:val="7734249D"/>
    <w:rsid w:val="777B0693"/>
    <w:rsid w:val="7B6C1C0D"/>
    <w:rsid w:val="7BA0598A"/>
    <w:rsid w:val="7C9A0FFB"/>
    <w:rsid w:val="7D5D6B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locked/>
    <w:uiPriority w:val="0"/>
    <w:pPr>
      <w:keepNext/>
      <w:keepLines/>
      <w:adjustRightInd w:val="0"/>
      <w:spacing w:before="260" w:after="260" w:line="416" w:lineRule="atLeast"/>
      <w:textAlignment w:val="baseline"/>
      <w:outlineLvl w:val="2"/>
    </w:pPr>
    <w:rPr>
      <w:rFonts w:ascii="Calibri" w:hAnsi="Calibri"/>
      <w:b/>
      <w:kern w:val="0"/>
      <w:sz w:val="32"/>
      <w:szCs w:val="2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unhideWhenUsed/>
    <w:qFormat/>
    <w:uiPriority w:val="0"/>
    <w:rPr>
      <w:rFonts w:ascii="Calibri" w:hAnsi="Calibri" w:cs="Calibri"/>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locked/>
    <w:uiPriority w:val="59"/>
    <w:rPr>
      <w:rFonts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qFormat/>
    <w:uiPriority w:val="99"/>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paragraph" w:customStyle="1" w:styleId="11">
    <w:name w:val="Char"/>
    <w:basedOn w:val="1"/>
    <w:qFormat/>
    <w:uiPriority w:val="99"/>
    <w:pPr>
      <w:tabs>
        <w:tab w:val="left" w:pos="1140"/>
      </w:tabs>
      <w:ind w:left="1140" w:hanging="720"/>
    </w:pPr>
  </w:style>
  <w:style w:type="paragraph" w:customStyle="1" w:styleId="12">
    <w:name w:val="Char Char Char Char Char Char Char Char Char"/>
    <w:basedOn w:val="1"/>
    <w:qFormat/>
    <w:uiPriority w:val="99"/>
    <w:rPr>
      <w:szCs w:val="21"/>
    </w:rPr>
  </w:style>
  <w:style w:type="paragraph" w:customStyle="1" w:styleId="13">
    <w:name w:val="列出段落1"/>
    <w:basedOn w:val="1"/>
    <w:qFormat/>
    <w:uiPriority w:val="99"/>
    <w:pPr>
      <w:ind w:firstLine="420" w:firstLineChars="200"/>
    </w:pPr>
  </w:style>
  <w:style w:type="character" w:customStyle="1" w:styleId="14">
    <w:name w:val="页眉 Char"/>
    <w:link w:val="5"/>
    <w:qFormat/>
    <w:locked/>
    <w:uiPriority w:val="99"/>
    <w:rPr>
      <w:rFonts w:cs="Times New Roman"/>
      <w:sz w:val="18"/>
      <w:szCs w:val="18"/>
    </w:rPr>
  </w:style>
  <w:style w:type="character" w:customStyle="1" w:styleId="15">
    <w:name w:val="页脚 Char"/>
    <w:link w:val="4"/>
    <w:qFormat/>
    <w:locked/>
    <w:uiPriority w:val="99"/>
    <w:rPr>
      <w:rFonts w:cs="Times New Roman"/>
      <w:sz w:val="18"/>
      <w:szCs w:val="18"/>
    </w:rPr>
  </w:style>
  <w:style w:type="character" w:customStyle="1" w:styleId="16">
    <w:name w:val="标题 3 Char"/>
    <w:link w:val="2"/>
    <w:qFormat/>
    <w:uiPriority w:val="0"/>
    <w:rPr>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718</Words>
  <Characters>4095</Characters>
  <Lines>34</Lines>
  <Paragraphs>9</Paragraphs>
  <TotalTime>2</TotalTime>
  <ScaleCrop>false</ScaleCrop>
  <LinksUpToDate>false</LinksUpToDate>
  <CharactersWithSpaces>4804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2015-01-21T08:29:00Z</dcterms:created>
  <dc:creator>lww</dc:creator>
  <cp:lastModifiedBy>就是这个范呀</cp:lastModifiedBy>
  <dcterms:modified xsi:type="dcterms:W3CDTF">2020-07-20T07:18:24Z</dcterms:modified>
  <dc:title>六安市金保工程数据中心_x000b_网络安全设备招标需求书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